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D1" w:rsidRDefault="00A81AD1" w:rsidP="00A81A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82093285"/>
      <w:bookmarkStart w:id="1" w:name="_Toc286656520"/>
      <w:bookmarkStart w:id="2" w:name="_GoBack"/>
      <w:bookmarkEnd w:id="2"/>
    </w:p>
    <w:p w:rsidR="00A81AD1" w:rsidRDefault="00A81AD1" w:rsidP="00A81AD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1AD1" w:rsidRPr="00A81AD1" w:rsidRDefault="00A81AD1" w:rsidP="00A81AD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A81AD1">
        <w:rPr>
          <w:rFonts w:eastAsia="Times New Roman" w:cstheme="minorHAnsi"/>
          <w:b/>
          <w:sz w:val="24"/>
          <w:szCs w:val="24"/>
        </w:rPr>
        <w:t>Louisiana</w:t>
      </w:r>
      <w:r>
        <w:rPr>
          <w:rFonts w:eastAsia="Times New Roman" w:cstheme="minorHAnsi"/>
          <w:b/>
          <w:sz w:val="24"/>
          <w:szCs w:val="24"/>
        </w:rPr>
        <w:t>’s</w:t>
      </w:r>
      <w:r w:rsidRPr="00A81AD1">
        <w:rPr>
          <w:rFonts w:eastAsia="Times New Roman" w:cstheme="minorHAnsi"/>
          <w:b/>
          <w:sz w:val="24"/>
          <w:szCs w:val="24"/>
        </w:rPr>
        <w:t xml:space="preserve"> Striving Readers Comprehensive Literacy Program</w:t>
      </w:r>
    </w:p>
    <w:p w:rsidR="00A81AD1" w:rsidRPr="00A81AD1" w:rsidRDefault="00A81AD1" w:rsidP="00A81AD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</w:p>
    <w:p w:rsidR="00A81AD1" w:rsidRPr="00A81AD1" w:rsidRDefault="008820CD" w:rsidP="00A81AD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Cohort 2 A</w:t>
      </w:r>
      <w:r w:rsidR="00A81AD1" w:rsidRPr="00A81AD1">
        <w:rPr>
          <w:rFonts w:eastAsia="Times New Roman" w:cstheme="minorHAnsi"/>
          <w:b/>
          <w:sz w:val="24"/>
          <w:szCs w:val="24"/>
        </w:rPr>
        <w:t>pplication</w:t>
      </w:r>
    </w:p>
    <w:p w:rsidR="00A81AD1" w:rsidRPr="00A81AD1" w:rsidRDefault="00A81AD1" w:rsidP="00A81AD1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</w:rPr>
      </w:pPr>
      <w:r w:rsidRPr="00A81AD1">
        <w:rPr>
          <w:rFonts w:eastAsia="Times New Roman" w:cstheme="minorHAnsi"/>
          <w:b/>
          <w:sz w:val="24"/>
          <w:szCs w:val="24"/>
        </w:rPr>
        <w:t>Frequently Asked Questions</w:t>
      </w:r>
      <w:bookmarkEnd w:id="0"/>
      <w:bookmarkEnd w:id="1"/>
    </w:p>
    <w:p w:rsidR="00A81AD1" w:rsidRPr="00A81AD1" w:rsidRDefault="00A81AD1" w:rsidP="00A81AD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81AD1">
        <w:rPr>
          <w:rFonts w:eastAsia="Times New Roman" w:cstheme="minorHAnsi"/>
          <w:b/>
          <w:bCs/>
          <w:color w:val="000000"/>
          <w:sz w:val="24"/>
          <w:szCs w:val="24"/>
        </w:rPr>
        <w:t xml:space="preserve">1. Who may apply for a </w:t>
      </w:r>
      <w:r w:rsidR="00242244">
        <w:rPr>
          <w:rFonts w:eastAsia="Times New Roman" w:cstheme="minorHAnsi"/>
          <w:b/>
          <w:bCs/>
          <w:color w:val="000000"/>
          <w:sz w:val="24"/>
          <w:szCs w:val="24"/>
        </w:rPr>
        <w:t xml:space="preserve">SRCL </w:t>
      </w:r>
      <w:r w:rsidRPr="00A81AD1">
        <w:rPr>
          <w:rFonts w:eastAsia="Times New Roman" w:cstheme="minorHAnsi"/>
          <w:b/>
          <w:bCs/>
          <w:color w:val="000000"/>
          <w:sz w:val="24"/>
          <w:szCs w:val="24"/>
        </w:rPr>
        <w:t xml:space="preserve">subgrant?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1AD1">
        <w:rPr>
          <w:rFonts w:eastAsia="Times New Roman" w:cstheme="minorHAnsi"/>
          <w:color w:val="000000"/>
          <w:sz w:val="24"/>
          <w:szCs w:val="24"/>
        </w:rPr>
        <w:t>Local education agencies (LEAs), including charters, are eligible to apply.</w:t>
      </w:r>
      <w:r w:rsidR="00242244">
        <w:rPr>
          <w:rFonts w:eastAsia="Times New Roman" w:cstheme="minorHAnsi"/>
          <w:color w:val="000000"/>
          <w:sz w:val="24"/>
          <w:szCs w:val="24"/>
        </w:rPr>
        <w:t xml:space="preserve"> LEAs must include preschool 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such as </w:t>
      </w:r>
      <w:r w:rsidR="00242244">
        <w:rPr>
          <w:rFonts w:eastAsia="Times New Roman" w:cstheme="minorHAnsi"/>
          <w:color w:val="000000"/>
          <w:sz w:val="24"/>
          <w:szCs w:val="24"/>
        </w:rPr>
        <w:t>LA4, Early Head Start Center/</w:t>
      </w:r>
      <w:r w:rsidRPr="00A81AD1">
        <w:rPr>
          <w:rFonts w:eastAsia="Times New Roman" w:cstheme="minorHAnsi"/>
          <w:color w:val="000000"/>
          <w:sz w:val="24"/>
          <w:szCs w:val="24"/>
        </w:rPr>
        <w:t>Head Start Center</w:t>
      </w:r>
      <w:r w:rsidR="00242244">
        <w:rPr>
          <w:rFonts w:eastAsia="Times New Roman" w:cstheme="minorHAnsi"/>
          <w:color w:val="000000"/>
          <w:sz w:val="24"/>
          <w:szCs w:val="24"/>
        </w:rPr>
        <w:t>, and/or a non-profit childcare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. They must also partner with a non‐profit community-based organization or agency </w:t>
      </w:r>
      <w:r w:rsidR="00242244">
        <w:rPr>
          <w:rFonts w:eastAsia="Times New Roman" w:cstheme="minorHAnsi"/>
          <w:color w:val="000000"/>
          <w:sz w:val="24"/>
          <w:szCs w:val="24"/>
        </w:rPr>
        <w:t xml:space="preserve">such as a library or health care provider 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that has a demonstrated record of effectiveness in improving the early literacy development of children, birth through kindergarten entry, </w:t>
      </w:r>
      <w:r w:rsidRPr="00A81AD1">
        <w:rPr>
          <w:rFonts w:eastAsia="Times New Roman" w:cstheme="minorHAnsi"/>
          <w:color w:val="000000"/>
          <w:sz w:val="24"/>
          <w:szCs w:val="24"/>
          <w:u w:val="single"/>
        </w:rPr>
        <w:t>and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 in providing professional development in early literacy.  </w:t>
      </w: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A81AD1" w:rsidRDefault="004F25FF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2</w:t>
      </w:r>
      <w:r w:rsidR="00A81AD1" w:rsidRPr="00A81AD1">
        <w:rPr>
          <w:rFonts w:eastAsia="Times New Roman" w:cstheme="minorHAnsi"/>
          <w:b/>
          <w:bCs/>
          <w:color w:val="000000"/>
          <w:sz w:val="24"/>
          <w:szCs w:val="24"/>
        </w:rPr>
        <w:t xml:space="preserve">. What are the requirements to receive a subgrant?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Default="004F25FF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</w:t>
      </w:r>
      <w:r w:rsidR="00A81AD1" w:rsidRPr="00A81AD1">
        <w:rPr>
          <w:rFonts w:eastAsia="Times New Roman" w:cstheme="minorHAnsi"/>
          <w:color w:val="000000"/>
          <w:sz w:val="24"/>
          <w:szCs w:val="24"/>
        </w:rPr>
        <w:t xml:space="preserve">pplicants </w:t>
      </w:r>
      <w:r>
        <w:rPr>
          <w:rFonts w:eastAsia="Times New Roman" w:cstheme="minorHAnsi"/>
          <w:color w:val="000000"/>
          <w:sz w:val="24"/>
          <w:szCs w:val="24"/>
        </w:rPr>
        <w:t xml:space="preserve">must </w:t>
      </w:r>
      <w:r w:rsidR="00A81AD1" w:rsidRPr="00A81AD1">
        <w:rPr>
          <w:rFonts w:eastAsia="Times New Roman" w:cstheme="minorHAnsi"/>
          <w:color w:val="000000"/>
          <w:sz w:val="24"/>
          <w:szCs w:val="24"/>
        </w:rPr>
        <w:t xml:space="preserve">select a feeder system that is likely to serve the same disadvantaged children as they progress through their education. Each age span (birth‐PreK and elementary, middle and high schools) must be included. </w:t>
      </w:r>
    </w:p>
    <w:p w:rsidR="004F25FF" w:rsidRPr="00457E04" w:rsidRDefault="004F25FF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1AD1">
        <w:rPr>
          <w:rFonts w:eastAsia="Times New Roman" w:cstheme="minorHAnsi"/>
          <w:color w:val="000000"/>
          <w:sz w:val="24"/>
          <w:szCs w:val="24"/>
        </w:rPr>
        <w:t xml:space="preserve">Each cluster may include up to two elementary schools, a middle school, and a high school, or a similar configuration that represents all grade levels. Unique situations, to ensure the </w:t>
      </w:r>
      <w:r w:rsidR="004F25FF">
        <w:rPr>
          <w:rFonts w:eastAsia="Times New Roman" w:cstheme="minorHAnsi"/>
          <w:color w:val="000000"/>
          <w:sz w:val="24"/>
          <w:szCs w:val="24"/>
        </w:rPr>
        <w:t xml:space="preserve">feeder system 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represents all grade levels, will be considered. The </w:t>
      </w:r>
      <w:r w:rsidR="004F25FF">
        <w:rPr>
          <w:rFonts w:eastAsia="Times New Roman" w:cstheme="minorHAnsi"/>
          <w:color w:val="000000"/>
          <w:sz w:val="24"/>
          <w:szCs w:val="24"/>
        </w:rPr>
        <w:t>feeder system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 must also include a non‐profit school‐based PreK program and services for parents and caregivers of children, beginning at birth.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1AD1">
        <w:rPr>
          <w:rFonts w:eastAsia="Times New Roman" w:cstheme="minorHAnsi"/>
          <w:color w:val="000000"/>
          <w:sz w:val="24"/>
          <w:szCs w:val="24"/>
        </w:rPr>
        <w:t xml:space="preserve">Applicants are also required to leverage SRCL funds with other Federal and State funds, and demonstrate greater responsibility for securing funds to sustain </w:t>
      </w:r>
      <w:r w:rsidR="004F25FF">
        <w:rPr>
          <w:rFonts w:eastAsia="Times New Roman" w:cstheme="minorHAnsi"/>
          <w:color w:val="000000"/>
          <w:sz w:val="24"/>
          <w:szCs w:val="24"/>
        </w:rPr>
        <w:t>the project</w:t>
      </w:r>
      <w:r w:rsidRPr="00A81AD1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 xml:space="preserve"> </w:t>
      </w:r>
      <w:r w:rsidRPr="00A81AD1">
        <w:rPr>
          <w:rFonts w:eastAsia="Times New Roman" w:cstheme="minorHAnsi"/>
          <w:color w:val="000000"/>
          <w:sz w:val="24"/>
          <w:szCs w:val="24"/>
        </w:rPr>
        <w:t>each year with</w:t>
      </w:r>
    </w:p>
    <w:p w:rsid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81AD1">
        <w:rPr>
          <w:rFonts w:eastAsia="Times New Roman" w:cstheme="minorHAnsi"/>
          <w:color w:val="000000"/>
          <w:sz w:val="24"/>
          <w:szCs w:val="24"/>
        </w:rPr>
        <w:t xml:space="preserve">fewer </w:t>
      </w:r>
      <w:r w:rsidRPr="00A81AD1">
        <w:rPr>
          <w:rFonts w:eastAsia="Times New Roman" w:cstheme="minorHAnsi"/>
          <w:sz w:val="24"/>
          <w:szCs w:val="24"/>
        </w:rPr>
        <w:t xml:space="preserve">SRCL funds. </w:t>
      </w:r>
    </w:p>
    <w:p w:rsidR="00AC4D70" w:rsidRDefault="00AC4D70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1AD1" w:rsidRPr="004B5323" w:rsidRDefault="004B5323" w:rsidP="004F25F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shd w:val="clear" w:color="auto" w:fill="FFFFFF"/>
        </w:rPr>
        <w:t>3</w:t>
      </w:r>
      <w:r w:rsidR="00A81AD1" w:rsidRPr="004B5323">
        <w:rPr>
          <w:rFonts w:eastAsia="Times New Roman" w:cstheme="minorHAnsi"/>
          <w:b/>
          <w:sz w:val="24"/>
          <w:szCs w:val="24"/>
          <w:shd w:val="clear" w:color="auto" w:fill="FFFFFF"/>
        </w:rPr>
        <w:t xml:space="preserve">. </w:t>
      </w:r>
      <w:r w:rsidR="00A81AD1" w:rsidRPr="004B5323">
        <w:rPr>
          <w:rFonts w:eastAsia="Times New Roman" w:cstheme="minorHAnsi"/>
          <w:b/>
          <w:bCs/>
          <w:color w:val="000000"/>
          <w:sz w:val="24"/>
          <w:szCs w:val="24"/>
        </w:rPr>
        <w:t xml:space="preserve">What is the definition of disadvantaged youth?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Pr="004B5323" w:rsidRDefault="004F25FF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>D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 xml:space="preserve">isadvantaged youth </w:t>
      </w:r>
      <w:r w:rsidRPr="004B5323">
        <w:rPr>
          <w:rFonts w:eastAsia="Times New Roman" w:cstheme="minorHAnsi"/>
          <w:color w:val="000000"/>
          <w:sz w:val="24"/>
          <w:szCs w:val="24"/>
        </w:rPr>
        <w:t>are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 xml:space="preserve"> children and students who are: living in poverty, homeless, or in foster care; limited‐English proficient, new immigrants, or migrant; challenged by disabilities; pregnant or teenage parents; performing far below grade level; at risk of not graduating with a diploma on time or have left school before receiving a high school diploma; or have been incarcerated.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4B5323" w:rsidRDefault="004B5323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4</w:t>
      </w:r>
      <w:r w:rsidR="00A81AD1" w:rsidRPr="004B5323">
        <w:rPr>
          <w:rFonts w:eastAsia="Times New Roman" w:cstheme="minorHAnsi"/>
          <w:b/>
          <w:bCs/>
          <w:color w:val="000000"/>
          <w:sz w:val="24"/>
          <w:szCs w:val="24"/>
        </w:rPr>
        <w:t xml:space="preserve">. Are there any requirements about how subgrants should be distributed across age specific bands?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BB4A05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 xml:space="preserve">Yes. LEAs must ensure that </w:t>
      </w:r>
      <w:r w:rsidRPr="004B5323">
        <w:rPr>
          <w:rFonts w:eastAsia="Times New Roman" w:cstheme="minorHAnsi"/>
          <w:i/>
          <w:color w:val="000000"/>
          <w:sz w:val="24"/>
          <w:szCs w:val="24"/>
        </w:rPr>
        <w:t>at least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:</w:t>
      </w:r>
    </w:p>
    <w:p w:rsidR="00BB4A05" w:rsidRPr="004B5323" w:rsidRDefault="00A81AD1" w:rsidP="00BB4A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>15 percent of the subgrant funds are used to serve children birth through age 5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.</w:t>
      </w:r>
    </w:p>
    <w:p w:rsidR="00BB4A05" w:rsidRPr="004B5323" w:rsidRDefault="00A81AD1" w:rsidP="00BB4A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>40 percent of the funds are used to serve students in kindergarten through grade 5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.</w:t>
      </w:r>
    </w:p>
    <w:p w:rsidR="00BB4A05" w:rsidRPr="004B5323" w:rsidRDefault="00A81AD1" w:rsidP="00BB4A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>20 percent of the funds are used to serve students in grades 6‐8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.</w:t>
      </w:r>
    </w:p>
    <w:p w:rsidR="00A81AD1" w:rsidRPr="004B5323" w:rsidRDefault="00A81AD1" w:rsidP="00BB4A0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 xml:space="preserve">20 percent of the funds are used to serve students in grades 9-12.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4B5323" w:rsidRDefault="004B5323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lastRenderedPageBreak/>
        <w:t>5</w:t>
      </w:r>
      <w:r w:rsidR="00A81AD1" w:rsidRPr="004B5323">
        <w:rPr>
          <w:rFonts w:eastAsia="Times New Roman" w:cstheme="minorHAnsi"/>
          <w:b/>
          <w:bCs/>
          <w:color w:val="000000"/>
          <w:sz w:val="24"/>
          <w:szCs w:val="24"/>
        </w:rPr>
        <w:t xml:space="preserve">. How may LEAs use subgrant funds?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4B5323" w:rsidRDefault="004B5323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LEAs may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 xml:space="preserve"> use subgrant funds to </w:t>
      </w:r>
      <w:r>
        <w:rPr>
          <w:rFonts w:eastAsia="Times New Roman" w:cstheme="minorHAnsi"/>
          <w:color w:val="000000"/>
          <w:sz w:val="24"/>
          <w:szCs w:val="24"/>
        </w:rPr>
        <w:t>build systems around the following focus areas:</w:t>
      </w:r>
    </w:p>
    <w:p w:rsidR="004B5323" w:rsidRDefault="004B5323" w:rsidP="004B53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School Leader and Teacher Learning Targets</w:t>
      </w:r>
    </w:p>
    <w:p w:rsidR="004B5323" w:rsidRDefault="004B5323" w:rsidP="004B53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Assessment and Curriculum</w:t>
      </w:r>
    </w:p>
    <w:p w:rsidR="004B5323" w:rsidRDefault="004B5323" w:rsidP="004B53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School and Teacher Collaboration</w:t>
      </w:r>
    </w:p>
    <w:p w:rsidR="004B5323" w:rsidRDefault="004B5323" w:rsidP="004B53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Compass Observation and Feedback</w:t>
      </w:r>
    </w:p>
    <w:p w:rsidR="004B5323" w:rsidRDefault="004B5323" w:rsidP="004B532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4B5323" w:rsidRDefault="00054294" w:rsidP="004B532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Fu</w:t>
      </w:r>
      <w:r w:rsidR="004B5323">
        <w:rPr>
          <w:rFonts w:eastAsia="Times New Roman" w:cstheme="minorHAnsi"/>
          <w:color w:val="000000"/>
          <w:sz w:val="24"/>
          <w:szCs w:val="24"/>
        </w:rPr>
        <w:t xml:space="preserve">nds must also 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>support activities that fully align with Louisiana’s Comprehensive Literacy Plan (LACLiP)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.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 xml:space="preserve"> Allowable expenses may include services of an endorsed professional development provider; family literacy programs; partial salaries for reading interventionists and literacy specialists</w:t>
      </w:r>
      <w:r w:rsidR="00935BE9" w:rsidRPr="004B5323">
        <w:rPr>
          <w:rFonts w:eastAsia="Times New Roman" w:cstheme="minorHAnsi"/>
          <w:color w:val="000000"/>
          <w:sz w:val="24"/>
          <w:szCs w:val="24"/>
        </w:rPr>
        <w:t xml:space="preserve"> (75% in Year</w:t>
      </w:r>
      <w:r>
        <w:rPr>
          <w:rFonts w:eastAsia="Times New Roman" w:cstheme="minorHAnsi"/>
          <w:color w:val="000000"/>
          <w:sz w:val="24"/>
          <w:szCs w:val="24"/>
        </w:rPr>
        <w:t xml:space="preserve">s 1-2 </w:t>
      </w:r>
      <w:r w:rsidR="00935BE9" w:rsidRPr="004B5323">
        <w:rPr>
          <w:rFonts w:eastAsia="Times New Roman" w:cstheme="minorHAnsi"/>
          <w:color w:val="000000"/>
          <w:sz w:val="24"/>
          <w:szCs w:val="24"/>
        </w:rPr>
        <w:t>and 65% in Year 3)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>; screening and pro</w:t>
      </w:r>
      <w:r>
        <w:rPr>
          <w:rFonts w:eastAsia="Times New Roman" w:cstheme="minorHAnsi"/>
          <w:color w:val="000000"/>
          <w:sz w:val="24"/>
          <w:szCs w:val="24"/>
        </w:rPr>
        <w:t>gress monitoring assessments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 xml:space="preserve">; and instruction and intervention materials, including technology, aligned with the Common Core 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s</w:t>
      </w:r>
      <w:r w:rsidR="00A81AD1" w:rsidRPr="004B5323">
        <w:rPr>
          <w:rFonts w:eastAsia="Times New Roman" w:cstheme="minorHAnsi"/>
          <w:color w:val="000000"/>
          <w:sz w:val="24"/>
          <w:szCs w:val="24"/>
        </w:rPr>
        <w:t xml:space="preserve">tandards. </w:t>
      </w:r>
    </w:p>
    <w:p w:rsidR="00C84BA5" w:rsidRPr="004B5323" w:rsidRDefault="00C84BA5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 xml:space="preserve">To build local and regional capacity, subgrantees </w:t>
      </w:r>
      <w:r w:rsidR="00C84BA5" w:rsidRPr="004B5323">
        <w:rPr>
          <w:rFonts w:eastAsia="Times New Roman" w:cstheme="minorHAnsi"/>
          <w:color w:val="000000"/>
          <w:sz w:val="24"/>
          <w:szCs w:val="24"/>
        </w:rPr>
        <w:t xml:space="preserve">are encouraged to include </w:t>
      </w:r>
      <w:r w:rsidRPr="004B5323">
        <w:rPr>
          <w:rFonts w:eastAsia="Times New Roman" w:cstheme="minorHAnsi"/>
          <w:color w:val="000000"/>
          <w:sz w:val="24"/>
          <w:szCs w:val="24"/>
        </w:rPr>
        <w:t>non‐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feeder</w:t>
      </w:r>
      <w:r w:rsidRPr="004B5323">
        <w:rPr>
          <w:rFonts w:eastAsia="Times New Roman" w:cstheme="minorHAnsi"/>
          <w:color w:val="000000"/>
          <w:sz w:val="24"/>
          <w:szCs w:val="24"/>
        </w:rPr>
        <w:t xml:space="preserve"> schools</w:t>
      </w:r>
      <w:r w:rsidR="00C84BA5" w:rsidRPr="004B5323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5323">
        <w:rPr>
          <w:rFonts w:eastAsia="Times New Roman" w:cstheme="minorHAnsi"/>
          <w:color w:val="000000"/>
          <w:sz w:val="24"/>
          <w:szCs w:val="24"/>
        </w:rPr>
        <w:t xml:space="preserve">in SRCL professional development organized for </w:t>
      </w:r>
      <w:r w:rsidR="00BB4A05" w:rsidRPr="004B5323">
        <w:rPr>
          <w:rFonts w:eastAsia="Times New Roman" w:cstheme="minorHAnsi"/>
          <w:color w:val="000000"/>
          <w:sz w:val="24"/>
          <w:szCs w:val="24"/>
        </w:rPr>
        <w:t>feeder</w:t>
      </w:r>
      <w:r w:rsidRPr="004B5323">
        <w:rPr>
          <w:rFonts w:eastAsia="Times New Roman" w:cstheme="minorHAnsi"/>
          <w:color w:val="000000"/>
          <w:sz w:val="24"/>
          <w:szCs w:val="24"/>
        </w:rPr>
        <w:t xml:space="preserve"> schools</w:t>
      </w:r>
      <w:r w:rsidR="00EA0503" w:rsidRPr="004B5323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="00C84BA5" w:rsidRPr="004B5323">
        <w:rPr>
          <w:rFonts w:eastAsia="Times New Roman" w:cstheme="minorHAnsi"/>
          <w:color w:val="000000"/>
          <w:sz w:val="24"/>
          <w:szCs w:val="24"/>
        </w:rPr>
        <w:t>when appropriate.</w:t>
      </w:r>
      <w:r w:rsidRPr="004B5323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4B5323" w:rsidRDefault="004B5323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6</w:t>
      </w:r>
      <w:r w:rsidR="00A81AD1" w:rsidRPr="004B5323">
        <w:rPr>
          <w:rFonts w:eastAsia="Times New Roman" w:cstheme="minorHAnsi"/>
          <w:b/>
          <w:bCs/>
          <w:color w:val="000000"/>
          <w:sz w:val="24"/>
          <w:szCs w:val="24"/>
        </w:rPr>
        <w:t xml:space="preserve">. How many subgrants will be awarded?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4B5323">
        <w:rPr>
          <w:rFonts w:eastAsia="Times New Roman" w:cstheme="minorHAnsi"/>
          <w:color w:val="000000"/>
          <w:sz w:val="24"/>
          <w:szCs w:val="24"/>
        </w:rPr>
        <w:t xml:space="preserve">LDOE estimates that it will </w:t>
      </w:r>
      <w:r w:rsidR="00054294">
        <w:rPr>
          <w:rFonts w:eastAsia="Times New Roman" w:cstheme="minorHAnsi"/>
          <w:color w:val="000000"/>
          <w:sz w:val="24"/>
          <w:szCs w:val="24"/>
        </w:rPr>
        <w:t>award 11</w:t>
      </w:r>
      <w:r w:rsidRPr="004B5323">
        <w:rPr>
          <w:rFonts w:eastAsia="Times New Roman" w:cstheme="minorHAnsi"/>
          <w:color w:val="000000"/>
          <w:sz w:val="24"/>
          <w:szCs w:val="24"/>
        </w:rPr>
        <w:t xml:space="preserve"> subgrants in Cohort 2.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1AD1" w:rsidRPr="004B5323" w:rsidRDefault="004B5323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7</w:t>
      </w:r>
      <w:r w:rsidR="00A81AD1" w:rsidRPr="004B5323">
        <w:rPr>
          <w:rFonts w:eastAsia="Times New Roman" w:cstheme="minorHAnsi"/>
          <w:b/>
          <w:bCs/>
          <w:sz w:val="24"/>
          <w:szCs w:val="24"/>
        </w:rPr>
        <w:t xml:space="preserve">. What is the anticipated length of an award?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B5323">
        <w:rPr>
          <w:rFonts w:eastAsia="Times New Roman" w:cstheme="minorHAnsi"/>
          <w:sz w:val="24"/>
          <w:szCs w:val="24"/>
        </w:rPr>
        <w:t xml:space="preserve">LDOE will award subgrants on a competitive basis for a project period of up to 42 months for Cohort 2, pending continual Congressional approval, availability of funds, and the recipient’s </w:t>
      </w:r>
      <w:r w:rsidR="00054294">
        <w:rPr>
          <w:rFonts w:eastAsia="Times New Roman" w:cstheme="minorHAnsi"/>
          <w:sz w:val="24"/>
          <w:szCs w:val="24"/>
        </w:rPr>
        <w:t xml:space="preserve">demonstrated </w:t>
      </w:r>
      <w:r w:rsidRPr="004B5323">
        <w:rPr>
          <w:rFonts w:eastAsia="Times New Roman" w:cstheme="minorHAnsi"/>
          <w:sz w:val="24"/>
          <w:szCs w:val="24"/>
        </w:rPr>
        <w:t xml:space="preserve">progress in implementing the objectives in its approved application. </w:t>
      </w:r>
    </w:p>
    <w:p w:rsidR="00A81AD1" w:rsidRPr="004B5323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1AD1" w:rsidRPr="00A81AD1" w:rsidRDefault="004B5323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8</w:t>
      </w:r>
      <w:r w:rsidR="00A81AD1" w:rsidRPr="004B5323">
        <w:rPr>
          <w:rFonts w:eastAsia="Times New Roman" w:cstheme="minorHAnsi"/>
          <w:b/>
          <w:bCs/>
          <w:sz w:val="24"/>
          <w:szCs w:val="24"/>
        </w:rPr>
        <w:t>. What is the amount of the award?</w:t>
      </w:r>
      <w:r w:rsidR="00A81AD1" w:rsidRPr="00A81AD1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:rsidR="00A81AD1" w:rsidRPr="00A81AD1" w:rsidRDefault="0015068B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LDOE estimates that the </w:t>
      </w:r>
      <w:r w:rsidR="00A81AD1" w:rsidRPr="00A81AD1">
        <w:rPr>
          <w:rFonts w:eastAsia="Times New Roman" w:cstheme="minorHAnsi"/>
          <w:sz w:val="24"/>
          <w:szCs w:val="24"/>
        </w:rPr>
        <w:t xml:space="preserve">amount of the award will </w:t>
      </w:r>
      <w:r>
        <w:rPr>
          <w:rFonts w:eastAsia="Times New Roman" w:cstheme="minorHAnsi"/>
          <w:sz w:val="24"/>
          <w:szCs w:val="24"/>
        </w:rPr>
        <w:t>be $250,000.00 for the first five months</w:t>
      </w:r>
      <w:r w:rsidR="00BB4A05">
        <w:rPr>
          <w:rFonts w:eastAsia="Times New Roman" w:cstheme="minorHAnsi"/>
          <w:sz w:val="24"/>
          <w:szCs w:val="24"/>
        </w:rPr>
        <w:t xml:space="preserve"> and between $</w:t>
      </w:r>
      <w:r w:rsidR="00A81AD1" w:rsidRPr="00A81AD1">
        <w:rPr>
          <w:rFonts w:eastAsia="Times New Roman" w:cstheme="minorHAnsi"/>
          <w:sz w:val="24"/>
          <w:szCs w:val="24"/>
        </w:rPr>
        <w:t>1,</w:t>
      </w:r>
      <w:r>
        <w:rPr>
          <w:rFonts w:eastAsia="Times New Roman" w:cstheme="minorHAnsi"/>
          <w:sz w:val="24"/>
          <w:szCs w:val="24"/>
        </w:rPr>
        <w:t>00</w:t>
      </w:r>
      <w:r w:rsidR="00A81AD1" w:rsidRPr="00A81AD1">
        <w:rPr>
          <w:rFonts w:eastAsia="Times New Roman" w:cstheme="minorHAnsi"/>
          <w:sz w:val="24"/>
          <w:szCs w:val="24"/>
        </w:rPr>
        <w:t>0,000.00 to $2,</w:t>
      </w:r>
      <w:r>
        <w:rPr>
          <w:rFonts w:eastAsia="Times New Roman" w:cstheme="minorHAnsi"/>
          <w:sz w:val="24"/>
          <w:szCs w:val="24"/>
        </w:rPr>
        <w:t>0</w:t>
      </w:r>
      <w:r w:rsidR="00A81AD1" w:rsidRPr="00A81AD1">
        <w:rPr>
          <w:rFonts w:eastAsia="Times New Roman" w:cstheme="minorHAnsi"/>
          <w:sz w:val="24"/>
          <w:szCs w:val="24"/>
        </w:rPr>
        <w:t xml:space="preserve">00,000.00 in </w:t>
      </w:r>
      <w:r>
        <w:rPr>
          <w:rFonts w:eastAsia="Times New Roman" w:cstheme="minorHAnsi"/>
          <w:sz w:val="24"/>
          <w:szCs w:val="24"/>
        </w:rPr>
        <w:t>subsequent years</w:t>
      </w:r>
      <w:r w:rsidR="00883F77">
        <w:rPr>
          <w:rFonts w:eastAsia="Times New Roman" w:cstheme="minorHAnsi"/>
          <w:sz w:val="24"/>
          <w:szCs w:val="24"/>
        </w:rPr>
        <w:t>,</w:t>
      </w:r>
      <w:r w:rsidR="00BB4A05">
        <w:rPr>
          <w:rFonts w:eastAsia="Times New Roman" w:cstheme="minorHAnsi"/>
          <w:sz w:val="24"/>
          <w:szCs w:val="24"/>
        </w:rPr>
        <w:t xml:space="preserve"> depending on the number of students served</w:t>
      </w:r>
      <w:r w:rsidR="00115E14">
        <w:rPr>
          <w:rFonts w:eastAsia="Times New Roman" w:cstheme="minorHAnsi"/>
          <w:sz w:val="24"/>
          <w:szCs w:val="24"/>
        </w:rPr>
        <w:t xml:space="preserve"> and other factors.</w:t>
      </w: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1AD1" w:rsidRPr="00A81AD1" w:rsidRDefault="004B5323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9</w:t>
      </w:r>
      <w:r w:rsidR="00A81AD1" w:rsidRPr="00A81AD1">
        <w:rPr>
          <w:rFonts w:eastAsia="Times New Roman" w:cstheme="minorHAnsi"/>
          <w:b/>
          <w:bCs/>
          <w:sz w:val="24"/>
          <w:szCs w:val="24"/>
        </w:rPr>
        <w:t xml:space="preserve">. Will subgrantees be expected to expand the program to include more children?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81AD1">
        <w:rPr>
          <w:rFonts w:eastAsia="Times New Roman" w:cstheme="minorHAnsi"/>
          <w:sz w:val="24"/>
          <w:szCs w:val="24"/>
        </w:rPr>
        <w:t xml:space="preserve">Yes. After the first full year of implementation, subgrantees will be expected to </w:t>
      </w:r>
      <w:r w:rsidR="00BB4A05">
        <w:rPr>
          <w:rFonts w:eastAsia="Times New Roman" w:cstheme="minorHAnsi"/>
          <w:sz w:val="24"/>
          <w:szCs w:val="24"/>
        </w:rPr>
        <w:t>add</w:t>
      </w:r>
      <w:r w:rsidRPr="00A81AD1">
        <w:rPr>
          <w:rFonts w:eastAsia="Times New Roman" w:cstheme="minorHAnsi"/>
          <w:sz w:val="24"/>
          <w:szCs w:val="24"/>
        </w:rPr>
        <w:t xml:space="preserve"> </w:t>
      </w:r>
      <w:r w:rsidR="00C84BA5">
        <w:rPr>
          <w:rFonts w:eastAsia="Times New Roman" w:cstheme="minorHAnsi"/>
          <w:sz w:val="24"/>
          <w:szCs w:val="24"/>
        </w:rPr>
        <w:t xml:space="preserve">at least one </w:t>
      </w:r>
      <w:r w:rsidRPr="00A81AD1">
        <w:rPr>
          <w:rFonts w:eastAsia="Times New Roman" w:cstheme="minorHAnsi"/>
          <w:sz w:val="24"/>
          <w:szCs w:val="24"/>
        </w:rPr>
        <w:t>feeder school</w:t>
      </w:r>
      <w:r w:rsidR="00BB4A05">
        <w:rPr>
          <w:rFonts w:eastAsia="Times New Roman" w:cstheme="minorHAnsi"/>
          <w:sz w:val="24"/>
          <w:szCs w:val="24"/>
        </w:rPr>
        <w:t>,</w:t>
      </w:r>
      <w:r w:rsidR="00C84BA5">
        <w:rPr>
          <w:rFonts w:eastAsia="Times New Roman" w:cstheme="minorHAnsi"/>
          <w:sz w:val="24"/>
          <w:szCs w:val="24"/>
        </w:rPr>
        <w:t xml:space="preserve"> or when there are no additional feeder schools, a </w:t>
      </w:r>
      <w:r w:rsidR="00BB4A05">
        <w:rPr>
          <w:rFonts w:eastAsia="Times New Roman" w:cstheme="minorHAnsi"/>
          <w:sz w:val="24"/>
          <w:szCs w:val="24"/>
        </w:rPr>
        <w:t>disadvantaged population</w:t>
      </w:r>
      <w:r w:rsidR="00C84BA5">
        <w:rPr>
          <w:rFonts w:eastAsia="Times New Roman" w:cstheme="minorHAnsi"/>
          <w:sz w:val="24"/>
          <w:szCs w:val="24"/>
        </w:rPr>
        <w:t xml:space="preserve"> </w:t>
      </w:r>
      <w:r w:rsidR="00C84BA5" w:rsidRPr="00457E04">
        <w:rPr>
          <w:rFonts w:eastAsia="Times New Roman" w:cstheme="minorHAnsi"/>
          <w:sz w:val="24"/>
          <w:szCs w:val="24"/>
        </w:rPr>
        <w:t>(e.</w:t>
      </w:r>
      <w:r w:rsidR="00457E04" w:rsidRPr="00457E04">
        <w:rPr>
          <w:rFonts w:eastAsia="Times New Roman" w:cstheme="minorHAnsi"/>
          <w:sz w:val="24"/>
          <w:szCs w:val="24"/>
        </w:rPr>
        <w:t>g.</w:t>
      </w:r>
      <w:r w:rsidR="00C84BA5" w:rsidRPr="00457E04">
        <w:rPr>
          <w:rFonts w:eastAsia="Times New Roman" w:cstheme="minorHAnsi"/>
          <w:sz w:val="24"/>
          <w:szCs w:val="24"/>
        </w:rPr>
        <w:t>,</w:t>
      </w:r>
      <w:r w:rsidR="00C84BA5" w:rsidRPr="00C84BA5">
        <w:rPr>
          <w:rFonts w:eastAsia="Times New Roman" w:cstheme="minorHAnsi"/>
          <w:sz w:val="24"/>
          <w:szCs w:val="24"/>
        </w:rPr>
        <w:t xml:space="preserve"> </w:t>
      </w:r>
      <w:r w:rsidR="00C84BA5">
        <w:rPr>
          <w:rFonts w:eastAsia="Times New Roman" w:cstheme="minorHAnsi"/>
          <w:sz w:val="24"/>
          <w:szCs w:val="24"/>
        </w:rPr>
        <w:t>incarcerated youth)</w:t>
      </w:r>
      <w:r w:rsidRPr="00A81AD1">
        <w:rPr>
          <w:rFonts w:eastAsia="Times New Roman" w:cstheme="minorHAnsi"/>
          <w:sz w:val="24"/>
          <w:szCs w:val="24"/>
        </w:rPr>
        <w:t>. No additional subgrant funds will be allocated for this expansion</w:t>
      </w:r>
      <w:r w:rsidR="00C84BA5">
        <w:rPr>
          <w:rFonts w:eastAsia="Times New Roman" w:cstheme="minorHAnsi"/>
          <w:sz w:val="24"/>
          <w:szCs w:val="24"/>
        </w:rPr>
        <w:t>. Subgrantees are expected</w:t>
      </w:r>
      <w:r w:rsidRPr="00A81AD1">
        <w:rPr>
          <w:rFonts w:eastAsia="Times New Roman" w:cstheme="minorHAnsi"/>
          <w:sz w:val="24"/>
          <w:szCs w:val="24"/>
        </w:rPr>
        <w:t xml:space="preserve"> to leverage available resources to </w:t>
      </w:r>
      <w:r w:rsidR="00883F77">
        <w:rPr>
          <w:rFonts w:eastAsia="Times New Roman" w:cstheme="minorHAnsi"/>
          <w:sz w:val="24"/>
          <w:szCs w:val="24"/>
        </w:rPr>
        <w:t xml:space="preserve">sustain and </w:t>
      </w:r>
      <w:r w:rsidR="003F25F7">
        <w:rPr>
          <w:rFonts w:eastAsia="Times New Roman" w:cstheme="minorHAnsi"/>
          <w:sz w:val="24"/>
          <w:szCs w:val="24"/>
        </w:rPr>
        <w:t xml:space="preserve">scale </w:t>
      </w:r>
      <w:r w:rsidRPr="00A81AD1">
        <w:rPr>
          <w:rFonts w:eastAsia="Times New Roman" w:cstheme="minorHAnsi"/>
          <w:sz w:val="24"/>
          <w:szCs w:val="24"/>
        </w:rPr>
        <w:t xml:space="preserve">a model that can be replicated statewide. </w:t>
      </w: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81AD1">
        <w:rPr>
          <w:rFonts w:eastAsia="Times New Roman" w:cstheme="minorHAnsi"/>
          <w:b/>
          <w:bCs/>
          <w:sz w:val="24"/>
          <w:szCs w:val="24"/>
        </w:rPr>
        <w:t>1</w:t>
      </w:r>
      <w:r w:rsidR="004B5323">
        <w:rPr>
          <w:rFonts w:eastAsia="Times New Roman" w:cstheme="minorHAnsi"/>
          <w:b/>
          <w:bCs/>
          <w:sz w:val="24"/>
          <w:szCs w:val="24"/>
        </w:rPr>
        <w:t>0</w:t>
      </w:r>
      <w:r w:rsidRPr="00A81AD1">
        <w:rPr>
          <w:rFonts w:eastAsia="Times New Roman" w:cstheme="minorHAnsi"/>
          <w:b/>
          <w:bCs/>
          <w:sz w:val="24"/>
          <w:szCs w:val="24"/>
        </w:rPr>
        <w:t xml:space="preserve">. May LEAs apply for more than one subgrant?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81AD1">
        <w:rPr>
          <w:rFonts w:eastAsia="Times New Roman" w:cstheme="minorHAnsi"/>
          <w:sz w:val="24"/>
          <w:szCs w:val="24"/>
        </w:rPr>
        <w:t xml:space="preserve">LEAs are encouraged to apply for one subgrant for a feeder </w:t>
      </w:r>
      <w:r w:rsidR="003F25F7">
        <w:rPr>
          <w:rFonts w:eastAsia="Times New Roman" w:cstheme="minorHAnsi"/>
          <w:sz w:val="24"/>
          <w:szCs w:val="24"/>
        </w:rPr>
        <w:t>system</w:t>
      </w:r>
      <w:r w:rsidRPr="00A81AD1">
        <w:rPr>
          <w:rFonts w:eastAsia="Times New Roman" w:cstheme="minorHAnsi"/>
          <w:sz w:val="24"/>
          <w:szCs w:val="24"/>
        </w:rPr>
        <w:t xml:space="preserve"> with the greatest need. </w:t>
      </w:r>
    </w:p>
    <w:p w:rsid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054294" w:rsidRDefault="00054294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81AD1">
        <w:rPr>
          <w:rFonts w:eastAsia="Times New Roman" w:cstheme="minorHAnsi"/>
          <w:b/>
          <w:bCs/>
          <w:sz w:val="24"/>
          <w:szCs w:val="24"/>
        </w:rPr>
        <w:lastRenderedPageBreak/>
        <w:t>1</w:t>
      </w:r>
      <w:r w:rsidR="004B5323">
        <w:rPr>
          <w:rFonts w:eastAsia="Times New Roman" w:cstheme="minorHAnsi"/>
          <w:b/>
          <w:bCs/>
          <w:sz w:val="24"/>
          <w:szCs w:val="24"/>
        </w:rPr>
        <w:t>1</w:t>
      </w:r>
      <w:r w:rsidRPr="00A81AD1">
        <w:rPr>
          <w:rFonts w:eastAsia="Times New Roman" w:cstheme="minorHAnsi"/>
          <w:b/>
          <w:bCs/>
          <w:sz w:val="24"/>
          <w:szCs w:val="24"/>
        </w:rPr>
        <w:t xml:space="preserve">. Who should be involved in the development of the subgrant application?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:rsid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A81AD1">
        <w:rPr>
          <w:rFonts w:eastAsia="Times New Roman" w:cstheme="minorHAnsi"/>
          <w:sz w:val="24"/>
          <w:szCs w:val="24"/>
        </w:rPr>
        <w:t xml:space="preserve">Applicants should involve a variety of stakeholders in the development of </w:t>
      </w:r>
      <w:r w:rsidR="003F25F7">
        <w:rPr>
          <w:rFonts w:eastAsia="Times New Roman" w:cstheme="minorHAnsi"/>
          <w:sz w:val="24"/>
          <w:szCs w:val="24"/>
        </w:rPr>
        <w:t>the</w:t>
      </w:r>
      <w:r w:rsidRPr="00A81AD1">
        <w:rPr>
          <w:rFonts w:eastAsia="Times New Roman" w:cstheme="minorHAnsi"/>
          <w:sz w:val="24"/>
          <w:szCs w:val="24"/>
        </w:rPr>
        <w:t xml:space="preserve"> application, including teachers, principals, parents and caregivers, early child care providers, the superintendent, content area supervisors, teacher educators, school board members, and community members. </w:t>
      </w:r>
    </w:p>
    <w:p w:rsidR="00242244" w:rsidRDefault="00242244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A81AD1">
        <w:rPr>
          <w:rFonts w:eastAsia="Times New Roman" w:cstheme="minorHAnsi"/>
          <w:b/>
          <w:bCs/>
          <w:sz w:val="24"/>
          <w:szCs w:val="24"/>
        </w:rPr>
        <w:t>1</w:t>
      </w:r>
      <w:r w:rsidR="004B5323">
        <w:rPr>
          <w:rFonts w:eastAsia="Times New Roman" w:cstheme="minorHAnsi"/>
          <w:b/>
          <w:bCs/>
          <w:sz w:val="24"/>
          <w:szCs w:val="24"/>
        </w:rPr>
        <w:t>2</w:t>
      </w:r>
      <w:r w:rsidRPr="00A81AD1">
        <w:rPr>
          <w:rFonts w:eastAsia="Times New Roman" w:cstheme="minorHAnsi"/>
          <w:b/>
          <w:bCs/>
          <w:sz w:val="24"/>
          <w:szCs w:val="24"/>
        </w:rPr>
        <w:t>. Wh</w:t>
      </w:r>
      <w:r w:rsidR="0015068B">
        <w:rPr>
          <w:rFonts w:eastAsia="Times New Roman" w:cstheme="minorHAnsi"/>
          <w:b/>
          <w:bCs/>
          <w:sz w:val="24"/>
          <w:szCs w:val="24"/>
        </w:rPr>
        <w:t>en is the</w:t>
      </w:r>
      <w:r w:rsidRPr="00A81AD1">
        <w:rPr>
          <w:rFonts w:eastAsia="Times New Roman" w:cstheme="minorHAnsi"/>
          <w:b/>
          <w:bCs/>
          <w:sz w:val="24"/>
          <w:szCs w:val="24"/>
        </w:rPr>
        <w:t xml:space="preserve"> application due?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:rsidR="00A81AD1" w:rsidRPr="00A81AD1" w:rsidRDefault="003F25F7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A81AD1" w:rsidRPr="00A81AD1">
        <w:rPr>
          <w:rFonts w:eastAsia="Times New Roman" w:cstheme="minorHAnsi"/>
          <w:sz w:val="24"/>
          <w:szCs w:val="24"/>
        </w:rPr>
        <w:t xml:space="preserve">pplications </w:t>
      </w:r>
      <w:r>
        <w:rPr>
          <w:rFonts w:eastAsia="Times New Roman" w:cstheme="minorHAnsi"/>
          <w:sz w:val="24"/>
          <w:szCs w:val="24"/>
        </w:rPr>
        <w:t>f</w:t>
      </w:r>
      <w:r w:rsidRPr="00A81AD1">
        <w:rPr>
          <w:rFonts w:eastAsia="Times New Roman" w:cstheme="minorHAnsi"/>
          <w:sz w:val="24"/>
          <w:szCs w:val="24"/>
        </w:rPr>
        <w:t xml:space="preserve">or Cohort </w:t>
      </w:r>
      <w:r>
        <w:rPr>
          <w:rFonts w:eastAsia="Times New Roman" w:cstheme="minorHAnsi"/>
          <w:sz w:val="24"/>
          <w:szCs w:val="24"/>
        </w:rPr>
        <w:t>2</w:t>
      </w:r>
      <w:r w:rsidRPr="00A81AD1">
        <w:rPr>
          <w:rFonts w:eastAsia="Times New Roman" w:cstheme="minorHAnsi"/>
          <w:sz w:val="24"/>
          <w:szCs w:val="24"/>
        </w:rPr>
        <w:t xml:space="preserve"> </w:t>
      </w:r>
      <w:r w:rsidR="00462A14">
        <w:rPr>
          <w:rFonts w:eastAsia="Times New Roman" w:cstheme="minorHAnsi"/>
          <w:sz w:val="24"/>
          <w:szCs w:val="24"/>
        </w:rPr>
        <w:t xml:space="preserve">will be due </w:t>
      </w:r>
      <w:r w:rsidR="004B5323">
        <w:rPr>
          <w:rFonts w:eastAsia="Times New Roman" w:cstheme="minorHAnsi"/>
          <w:sz w:val="24"/>
          <w:szCs w:val="24"/>
        </w:rPr>
        <w:t xml:space="preserve">April 16, </w:t>
      </w:r>
      <w:r w:rsidR="00CF6AFA">
        <w:rPr>
          <w:rFonts w:eastAsia="Times New Roman" w:cstheme="minorHAnsi"/>
          <w:sz w:val="24"/>
          <w:szCs w:val="24"/>
        </w:rPr>
        <w:t xml:space="preserve">2013. </w:t>
      </w:r>
      <w:r w:rsidR="0015068B">
        <w:rPr>
          <w:rFonts w:eastAsia="Times New Roman" w:cstheme="minorHAnsi"/>
          <w:sz w:val="24"/>
          <w:szCs w:val="24"/>
        </w:rPr>
        <w:t xml:space="preserve">More information about submission procedures will be </w:t>
      </w:r>
      <w:r>
        <w:rPr>
          <w:rFonts w:eastAsia="Times New Roman" w:cstheme="minorHAnsi"/>
          <w:sz w:val="24"/>
          <w:szCs w:val="24"/>
        </w:rPr>
        <w:t xml:space="preserve">provided </w:t>
      </w:r>
      <w:r w:rsidR="00C84BA5">
        <w:rPr>
          <w:rFonts w:eastAsia="Times New Roman" w:cstheme="minorHAnsi"/>
          <w:sz w:val="24"/>
          <w:szCs w:val="24"/>
        </w:rPr>
        <w:t>in</w:t>
      </w:r>
      <w:r w:rsidR="004B5323">
        <w:rPr>
          <w:rFonts w:eastAsia="Times New Roman" w:cstheme="minorHAnsi"/>
          <w:sz w:val="24"/>
          <w:szCs w:val="24"/>
        </w:rPr>
        <w:t xml:space="preserve"> March</w:t>
      </w:r>
      <w:r w:rsidR="00A81AD1" w:rsidRPr="00A81AD1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81AD1"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4B5323">
        <w:rPr>
          <w:rFonts w:eastAsia="Times New Roman" w:cstheme="minorHAnsi"/>
          <w:b/>
          <w:bCs/>
          <w:color w:val="000000"/>
          <w:sz w:val="24"/>
          <w:szCs w:val="24"/>
        </w:rPr>
        <w:t>3</w:t>
      </w:r>
      <w:r w:rsidRPr="00A81AD1">
        <w:rPr>
          <w:rFonts w:eastAsia="Times New Roman" w:cstheme="minorHAnsi"/>
          <w:b/>
          <w:bCs/>
          <w:color w:val="000000"/>
          <w:sz w:val="24"/>
          <w:szCs w:val="24"/>
        </w:rPr>
        <w:t xml:space="preserve">. What will the application address?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1AD1">
        <w:rPr>
          <w:rFonts w:eastAsia="Times New Roman" w:cstheme="minorHAnsi"/>
          <w:color w:val="000000"/>
          <w:sz w:val="24"/>
          <w:szCs w:val="24"/>
        </w:rPr>
        <w:t xml:space="preserve">The application will </w:t>
      </w:r>
      <w:r w:rsidR="00462A14">
        <w:rPr>
          <w:rFonts w:eastAsia="Times New Roman" w:cstheme="minorHAnsi"/>
          <w:color w:val="000000"/>
          <w:sz w:val="24"/>
          <w:szCs w:val="24"/>
        </w:rPr>
        <w:t xml:space="preserve">include </w:t>
      </w:r>
      <w:r w:rsidR="009B7594">
        <w:rPr>
          <w:rFonts w:eastAsia="Times New Roman" w:cstheme="minorHAnsi"/>
          <w:color w:val="000000"/>
          <w:sz w:val="24"/>
          <w:szCs w:val="24"/>
        </w:rPr>
        <w:t>components</w:t>
      </w:r>
      <w:r w:rsidR="00462A14">
        <w:rPr>
          <w:rFonts w:eastAsia="Times New Roman" w:cstheme="minorHAnsi"/>
          <w:color w:val="000000"/>
          <w:sz w:val="24"/>
          <w:szCs w:val="24"/>
        </w:rPr>
        <w:t xml:space="preserve"> such as the need for the project, project goals, project design, project management, and project budget.</w:t>
      </w:r>
      <w:r w:rsidR="009B7594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CF6AFA" w:rsidRPr="00A81AD1" w:rsidRDefault="00CF6AFA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A81AD1" w:rsidRPr="00A81AD1" w:rsidRDefault="009B7594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1</w:t>
      </w:r>
      <w:r w:rsidR="004B5323">
        <w:rPr>
          <w:rFonts w:eastAsia="Times New Roman" w:cstheme="minorHAnsi"/>
          <w:b/>
          <w:bCs/>
          <w:sz w:val="24"/>
          <w:szCs w:val="24"/>
        </w:rPr>
        <w:t>4</w:t>
      </w:r>
      <w:r w:rsidR="00A81AD1" w:rsidRPr="00A81AD1">
        <w:rPr>
          <w:rFonts w:eastAsia="Times New Roman" w:cstheme="minorHAnsi"/>
          <w:b/>
          <w:bCs/>
          <w:sz w:val="24"/>
          <w:szCs w:val="24"/>
        </w:rPr>
        <w:t xml:space="preserve">. Must applicants submit an “Intent to Apply” letter or e‐mail?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16"/>
          <w:szCs w:val="16"/>
        </w:rPr>
      </w:pPr>
    </w:p>
    <w:p w:rsidR="009B759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1AD1">
        <w:rPr>
          <w:rFonts w:eastAsia="Times New Roman" w:cstheme="minorHAnsi"/>
          <w:sz w:val="24"/>
          <w:szCs w:val="24"/>
        </w:rPr>
        <w:t xml:space="preserve">LDOE strongly encourages each potential applicant to </w:t>
      </w:r>
      <w:r w:rsidR="009B7594">
        <w:rPr>
          <w:rFonts w:eastAsia="Times New Roman" w:cstheme="minorHAnsi"/>
          <w:sz w:val="24"/>
          <w:szCs w:val="24"/>
        </w:rPr>
        <w:t xml:space="preserve">send an </w:t>
      </w:r>
      <w:r w:rsidRPr="00A81AD1">
        <w:rPr>
          <w:rFonts w:eastAsia="Times New Roman" w:cstheme="minorHAnsi"/>
          <w:sz w:val="24"/>
          <w:szCs w:val="24"/>
        </w:rPr>
        <w:t xml:space="preserve">“Intent to Apply” </w:t>
      </w:r>
      <w:r w:rsidR="009B7594">
        <w:rPr>
          <w:rFonts w:eastAsia="Times New Roman" w:cstheme="minorHAnsi"/>
          <w:sz w:val="24"/>
          <w:szCs w:val="24"/>
        </w:rPr>
        <w:t xml:space="preserve">e-mail </w:t>
      </w:r>
      <w:r w:rsidRPr="00A81AD1">
        <w:rPr>
          <w:rFonts w:eastAsia="Times New Roman" w:cstheme="minorHAnsi"/>
          <w:sz w:val="24"/>
          <w:szCs w:val="24"/>
        </w:rPr>
        <w:t xml:space="preserve">to </w:t>
      </w:r>
      <w:r w:rsidRPr="00A81AD1">
        <w:rPr>
          <w:rFonts w:eastAsia="Times New Roman" w:cstheme="minorHAnsi"/>
          <w:color w:val="0000FF"/>
          <w:sz w:val="24"/>
          <w:szCs w:val="24"/>
        </w:rPr>
        <w:t>jill.slack@la.gov</w:t>
      </w:r>
      <w:r w:rsidRPr="00A81AD1">
        <w:rPr>
          <w:rFonts w:eastAsia="Times New Roman" w:cstheme="minorHAnsi"/>
          <w:color w:val="000000"/>
          <w:sz w:val="24"/>
          <w:szCs w:val="24"/>
        </w:rPr>
        <w:t>, with a copy to the LEA superintendent</w:t>
      </w:r>
      <w:r w:rsidR="003F25F7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B7594">
        <w:rPr>
          <w:rFonts w:eastAsia="Times New Roman" w:cstheme="minorHAnsi"/>
          <w:color w:val="000000"/>
          <w:sz w:val="24"/>
          <w:szCs w:val="24"/>
        </w:rPr>
        <w:t>and the network leader, if applicable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. </w:t>
      </w:r>
    </w:p>
    <w:p w:rsidR="009B7594" w:rsidRPr="00457E04" w:rsidRDefault="009B7594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9B7594" w:rsidRDefault="009B7594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In the e-mail subject line, type the name of the LEA followed by “SRCL Intent to Apply.” For example, </w:t>
      </w:r>
      <w:r w:rsidR="003F25F7">
        <w:rPr>
          <w:rFonts w:eastAsia="Times New Roman" w:cstheme="minorHAnsi"/>
          <w:color w:val="000000"/>
          <w:sz w:val="24"/>
          <w:szCs w:val="24"/>
        </w:rPr>
        <w:t xml:space="preserve">Subject: </w:t>
      </w:r>
      <w:r>
        <w:rPr>
          <w:rFonts w:eastAsia="Times New Roman" w:cstheme="minorHAnsi"/>
          <w:color w:val="000000"/>
          <w:sz w:val="24"/>
          <w:szCs w:val="24"/>
        </w:rPr>
        <w:t>Magnolia Parish: SRCL Intent to Apply.</w:t>
      </w:r>
    </w:p>
    <w:p w:rsidR="009B7594" w:rsidRPr="00457E04" w:rsidRDefault="009B7594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1AD1">
        <w:rPr>
          <w:rFonts w:eastAsia="Times New Roman" w:cstheme="minorHAnsi"/>
          <w:color w:val="000000"/>
          <w:sz w:val="24"/>
          <w:szCs w:val="24"/>
        </w:rPr>
        <w:t>Having this information allows LDOE to secure an appropriate number of reviewers. Applicants that do not provide this notification may still apply for funding.</w:t>
      </w:r>
    </w:p>
    <w:p w:rsidR="00A81AD1" w:rsidRPr="00A81AD1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p w:rsidR="00A81AD1" w:rsidRPr="00A81AD1" w:rsidRDefault="009B7594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1</w:t>
      </w:r>
      <w:r w:rsidR="004B5323">
        <w:rPr>
          <w:rFonts w:eastAsia="Times New Roman" w:cstheme="minorHAnsi"/>
          <w:b/>
          <w:bCs/>
          <w:color w:val="000000"/>
          <w:sz w:val="24"/>
          <w:szCs w:val="24"/>
        </w:rPr>
        <w:t>5</w:t>
      </w:r>
      <w:r w:rsidR="00A81AD1" w:rsidRPr="00A81AD1">
        <w:rPr>
          <w:rFonts w:eastAsia="Times New Roman" w:cstheme="minorHAnsi"/>
          <w:b/>
          <w:bCs/>
          <w:color w:val="000000"/>
          <w:sz w:val="24"/>
          <w:szCs w:val="24"/>
        </w:rPr>
        <w:t xml:space="preserve">. Who will review and score the applications? </w:t>
      </w:r>
    </w:p>
    <w:p w:rsidR="00A81AD1" w:rsidRPr="00457E04" w:rsidRDefault="00A81AD1" w:rsidP="00A81AD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16"/>
          <w:szCs w:val="16"/>
        </w:rPr>
      </w:pPr>
    </w:p>
    <w:p w:rsidR="00C5241D" w:rsidRDefault="00A81AD1" w:rsidP="00C84B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81AD1">
        <w:rPr>
          <w:rFonts w:eastAsia="Times New Roman" w:cstheme="minorHAnsi"/>
          <w:color w:val="000000"/>
          <w:sz w:val="24"/>
          <w:szCs w:val="24"/>
        </w:rPr>
        <w:t>Applications will be reviewed and scored by</w:t>
      </w:r>
      <w:r w:rsidR="00C84BA5">
        <w:rPr>
          <w:rFonts w:eastAsia="Times New Roman" w:cstheme="minorHAnsi"/>
          <w:color w:val="000000"/>
          <w:sz w:val="24"/>
          <w:szCs w:val="24"/>
        </w:rPr>
        <w:t xml:space="preserve"> a panel of</w:t>
      </w:r>
      <w:r w:rsidRPr="00A81AD1">
        <w:rPr>
          <w:rFonts w:eastAsia="Times New Roman" w:cstheme="minorHAnsi"/>
          <w:color w:val="000000"/>
          <w:sz w:val="24"/>
          <w:szCs w:val="24"/>
        </w:rPr>
        <w:t xml:space="preserve"> literacy experts external to Louisiana who have vast experience in development and i</w:t>
      </w:r>
      <w:r w:rsidR="00C84BA5">
        <w:rPr>
          <w:rFonts w:eastAsia="Times New Roman" w:cstheme="minorHAnsi"/>
          <w:color w:val="000000"/>
          <w:sz w:val="24"/>
          <w:szCs w:val="24"/>
        </w:rPr>
        <w:t xml:space="preserve">mplementation of literacy programs </w:t>
      </w:r>
      <w:r w:rsidRPr="00A81AD1">
        <w:rPr>
          <w:rFonts w:eastAsia="Times New Roman" w:cstheme="minorHAnsi"/>
          <w:color w:val="000000"/>
          <w:sz w:val="24"/>
          <w:szCs w:val="24"/>
        </w:rPr>
        <w:t>for children</w:t>
      </w:r>
      <w:r w:rsidR="00C84BA5">
        <w:rPr>
          <w:rFonts w:eastAsia="Times New Roman" w:cstheme="minorHAnsi"/>
          <w:color w:val="000000"/>
          <w:sz w:val="24"/>
          <w:szCs w:val="24"/>
        </w:rPr>
        <w:t xml:space="preserve">, birth-grade 12. </w:t>
      </w:r>
    </w:p>
    <w:p w:rsidR="004B5323" w:rsidRDefault="004B5323" w:rsidP="00C84BA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B5323" w:rsidRPr="004B5323" w:rsidRDefault="004B5323" w:rsidP="004B5323">
      <w:pPr>
        <w:shd w:val="clear" w:color="auto" w:fill="FFFFFF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16</w:t>
      </w:r>
      <w:r w:rsidRPr="004B5323">
        <w:rPr>
          <w:b/>
          <w:sz w:val="24"/>
          <w:szCs w:val="24"/>
          <w:shd w:val="clear" w:color="auto" w:fill="FFFFFF"/>
        </w:rPr>
        <w:t>. How can an organization or agency show non-profit status?</w:t>
      </w:r>
    </w:p>
    <w:p w:rsidR="004B5323" w:rsidRPr="004B5323" w:rsidRDefault="004B5323" w:rsidP="004B5323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4B5323">
        <w:rPr>
          <w:sz w:val="24"/>
          <w:szCs w:val="24"/>
          <w:shd w:val="clear" w:color="auto" w:fill="FFFFFF"/>
        </w:rPr>
        <w:t>An organization or agency can show non-profit status by any of the following means:</w:t>
      </w:r>
    </w:p>
    <w:p w:rsidR="004B5323" w:rsidRPr="004B5323" w:rsidRDefault="004B5323" w:rsidP="004B53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" w:hanging="180"/>
        <w:jc w:val="both"/>
        <w:rPr>
          <w:sz w:val="24"/>
          <w:szCs w:val="24"/>
        </w:rPr>
      </w:pPr>
      <w:r w:rsidRPr="004B5323">
        <w:rPr>
          <w:sz w:val="24"/>
          <w:szCs w:val="24"/>
          <w:shd w:val="clear" w:color="auto" w:fill="FFFFFF"/>
        </w:rPr>
        <w:t>Proof that the Internal Revenue Service currently recognizes the organization’s contributions are tax deductible under section 501(c)(3) of the Internal Revenue Code;</w:t>
      </w:r>
    </w:p>
    <w:p w:rsidR="004B5323" w:rsidRPr="004B5323" w:rsidRDefault="004B5323" w:rsidP="004B53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" w:hanging="180"/>
        <w:jc w:val="both"/>
        <w:rPr>
          <w:sz w:val="24"/>
          <w:szCs w:val="24"/>
        </w:rPr>
      </w:pPr>
      <w:r w:rsidRPr="004B5323">
        <w:rPr>
          <w:sz w:val="24"/>
          <w:szCs w:val="24"/>
          <w:shd w:val="clear" w:color="auto" w:fill="FFFFFF"/>
        </w:rPr>
        <w:t>A statement from a State taxing body or the State attorney general certifying that:</w:t>
      </w:r>
    </w:p>
    <w:p w:rsidR="004B5323" w:rsidRPr="004B5323" w:rsidRDefault="004B5323" w:rsidP="004B5323">
      <w:pPr>
        <w:pStyle w:val="ListParagraph"/>
        <w:shd w:val="clear" w:color="auto" w:fill="FFFFFF"/>
        <w:ind w:left="180"/>
        <w:jc w:val="both"/>
        <w:rPr>
          <w:sz w:val="24"/>
          <w:szCs w:val="24"/>
          <w:shd w:val="clear" w:color="auto" w:fill="FFFFFF"/>
        </w:rPr>
      </w:pPr>
      <w:r w:rsidRPr="004B5323">
        <w:rPr>
          <w:sz w:val="24"/>
          <w:szCs w:val="24"/>
          <w:shd w:val="clear" w:color="auto" w:fill="FFFFFF"/>
        </w:rPr>
        <w:t xml:space="preserve">     (a) The organization is a nonprofit organization operating within the State; and</w:t>
      </w:r>
    </w:p>
    <w:p w:rsidR="004B5323" w:rsidRPr="004B5323" w:rsidRDefault="004B5323" w:rsidP="004B5323">
      <w:pPr>
        <w:pStyle w:val="ListParagraph"/>
        <w:shd w:val="clear" w:color="auto" w:fill="FFFFFF"/>
        <w:ind w:left="180"/>
        <w:jc w:val="both"/>
        <w:rPr>
          <w:sz w:val="24"/>
          <w:szCs w:val="24"/>
          <w:shd w:val="clear" w:color="auto" w:fill="FFFFFF"/>
        </w:rPr>
      </w:pPr>
      <w:r w:rsidRPr="004B5323">
        <w:rPr>
          <w:sz w:val="24"/>
          <w:szCs w:val="24"/>
          <w:shd w:val="clear" w:color="auto" w:fill="FFFFFF"/>
        </w:rPr>
        <w:t xml:space="preserve">     (b) No part of its net earnings may lawfully benefit any private shareholder or individual;</w:t>
      </w:r>
    </w:p>
    <w:p w:rsidR="004B5323" w:rsidRPr="004B5323" w:rsidRDefault="004B5323" w:rsidP="004B532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" w:hanging="180"/>
        <w:jc w:val="both"/>
        <w:rPr>
          <w:sz w:val="24"/>
          <w:szCs w:val="24"/>
        </w:rPr>
      </w:pPr>
      <w:r w:rsidRPr="004B5323">
        <w:rPr>
          <w:sz w:val="24"/>
          <w:szCs w:val="24"/>
          <w:shd w:val="clear" w:color="auto" w:fill="FFFFFF"/>
        </w:rPr>
        <w:t>A certified copy of the organization’s certificate of incorporation or similar document if it clearly establishes the nonprofit status of the organization or agency; or</w:t>
      </w:r>
    </w:p>
    <w:p w:rsidR="00054294" w:rsidRPr="00EA0931" w:rsidRDefault="004B5323" w:rsidP="0005429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80" w:hanging="180"/>
        <w:jc w:val="both"/>
        <w:rPr>
          <w:sz w:val="24"/>
          <w:szCs w:val="24"/>
        </w:rPr>
      </w:pPr>
      <w:r w:rsidRPr="004B5323">
        <w:rPr>
          <w:sz w:val="24"/>
          <w:szCs w:val="24"/>
          <w:shd w:val="clear" w:color="auto" w:fill="FFFFFF"/>
        </w:rPr>
        <w:t>Any means described above if it applies to a State or national parent organization, together with a statement by the State or parent organization that the organization is a local nonprofit affiliate.</w:t>
      </w:r>
    </w:p>
    <w:p w:rsidR="00EA0931" w:rsidRDefault="00EA0931" w:rsidP="00EA09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EA0931" w:rsidRDefault="00EA0931" w:rsidP="00EA093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EA0931">
        <w:rPr>
          <w:b/>
          <w:sz w:val="24"/>
          <w:szCs w:val="24"/>
        </w:rPr>
        <w:lastRenderedPageBreak/>
        <w:t xml:space="preserve">17. How much of the funding distribution </w:t>
      </w:r>
      <w:r>
        <w:rPr>
          <w:b/>
          <w:sz w:val="24"/>
          <w:szCs w:val="24"/>
        </w:rPr>
        <w:t xml:space="preserve">set aside </w:t>
      </w:r>
      <w:r w:rsidRPr="00EA0931">
        <w:rPr>
          <w:b/>
          <w:sz w:val="24"/>
          <w:szCs w:val="24"/>
        </w:rPr>
        <w:t xml:space="preserve">for birth to preschool </w:t>
      </w:r>
      <w:r>
        <w:rPr>
          <w:b/>
          <w:sz w:val="24"/>
          <w:szCs w:val="24"/>
        </w:rPr>
        <w:t xml:space="preserve">(i.e., 15%) </w:t>
      </w:r>
      <w:r w:rsidRPr="00EA0931">
        <w:rPr>
          <w:b/>
          <w:sz w:val="24"/>
          <w:szCs w:val="24"/>
        </w:rPr>
        <w:t>must be used for non-profits organizations and agencies providing professional services?</w:t>
      </w:r>
    </w:p>
    <w:p w:rsidR="00EA0931" w:rsidRDefault="00EA0931" w:rsidP="00EA093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EA0931" w:rsidRDefault="00EA0931" w:rsidP="00EA09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LDOE does not dictate how to spend each funding distribution.</w:t>
      </w:r>
    </w:p>
    <w:p w:rsidR="00EA0931" w:rsidRDefault="00EA0931" w:rsidP="00EA09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EA0931" w:rsidRDefault="00EA0931" w:rsidP="00EA093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180606">
        <w:rPr>
          <w:b/>
          <w:sz w:val="24"/>
          <w:szCs w:val="24"/>
        </w:rPr>
        <w:t xml:space="preserve">18. </w:t>
      </w:r>
      <w:r w:rsidR="00D216BB">
        <w:rPr>
          <w:b/>
          <w:sz w:val="24"/>
          <w:szCs w:val="24"/>
        </w:rPr>
        <w:t>Should the professional development offered by non-profit early childhood organizations and agencies be designed for parents or staff?</w:t>
      </w:r>
    </w:p>
    <w:p w:rsidR="00D216BB" w:rsidRDefault="00D216BB" w:rsidP="00EA093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D216BB" w:rsidRPr="00D216BB" w:rsidRDefault="00D216BB" w:rsidP="00EA09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Professional development should be based on your identified needs.</w:t>
      </w:r>
    </w:p>
    <w:p w:rsidR="00D216BB" w:rsidRDefault="00D216BB" w:rsidP="00EA0931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</w:p>
    <w:p w:rsidR="00EA0931" w:rsidRDefault="00EA0931" w:rsidP="00EA09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EA0931" w:rsidRPr="00EA0931" w:rsidRDefault="00EA0931" w:rsidP="00EA09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4B5323" w:rsidRPr="004B5323" w:rsidRDefault="004B5323" w:rsidP="004B532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</w:p>
    <w:sectPr w:rsidR="004B5323" w:rsidRPr="004B5323" w:rsidSect="00457E04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595"/>
    <w:multiLevelType w:val="hybridMultilevel"/>
    <w:tmpl w:val="CBBA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B1C81"/>
    <w:multiLevelType w:val="hybridMultilevel"/>
    <w:tmpl w:val="3296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66C9"/>
    <w:multiLevelType w:val="hybridMultilevel"/>
    <w:tmpl w:val="0412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D1"/>
    <w:rsid w:val="00054294"/>
    <w:rsid w:val="00115E14"/>
    <w:rsid w:val="0015068B"/>
    <w:rsid w:val="00180606"/>
    <w:rsid w:val="00242244"/>
    <w:rsid w:val="00247560"/>
    <w:rsid w:val="00377E88"/>
    <w:rsid w:val="003F25F7"/>
    <w:rsid w:val="00405411"/>
    <w:rsid w:val="00457E04"/>
    <w:rsid w:val="00462A14"/>
    <w:rsid w:val="004B5323"/>
    <w:rsid w:val="004F25FF"/>
    <w:rsid w:val="006268D5"/>
    <w:rsid w:val="00746AD3"/>
    <w:rsid w:val="007665B7"/>
    <w:rsid w:val="008820CD"/>
    <w:rsid w:val="00883F77"/>
    <w:rsid w:val="008B6929"/>
    <w:rsid w:val="00935BE9"/>
    <w:rsid w:val="009B7594"/>
    <w:rsid w:val="009C3878"/>
    <w:rsid w:val="00A0085A"/>
    <w:rsid w:val="00A81AD1"/>
    <w:rsid w:val="00AC4D70"/>
    <w:rsid w:val="00BB4A05"/>
    <w:rsid w:val="00BF713A"/>
    <w:rsid w:val="00C5241D"/>
    <w:rsid w:val="00C84BA5"/>
    <w:rsid w:val="00CC2080"/>
    <w:rsid w:val="00CF6AFA"/>
    <w:rsid w:val="00D216BB"/>
    <w:rsid w:val="00DB32C9"/>
    <w:rsid w:val="00E81074"/>
    <w:rsid w:val="00EA0503"/>
    <w:rsid w:val="00E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9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A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69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9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9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9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Louisiana Department of Education</dc:creator>
  <cp:lastModifiedBy>Louisiana Department of Education</cp:lastModifiedBy>
  <cp:revision>2</cp:revision>
  <cp:lastPrinted>2013-04-08T13:03:00Z</cp:lastPrinted>
  <dcterms:created xsi:type="dcterms:W3CDTF">2013-04-09T13:13:00Z</dcterms:created>
  <dcterms:modified xsi:type="dcterms:W3CDTF">2013-04-09T13:13:00Z</dcterms:modified>
</cp:coreProperties>
</file>