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5DC4" w:rsidRDefault="0006556A">
      <w:pPr>
        <w:spacing w:line="240" w:lineRule="auto"/>
        <w:rPr>
          <w:color w:val="4D4D4F"/>
        </w:rPr>
        <w:bidi w:val="0"/>
      </w:pPr>
      <w:r>
        <w:rPr>
          <w:lang w:eastAsia="zh-HK"/>
          <w:b w:val="0"/>
          <w:bCs w:val="0"/>
          <w:i w:val="0"/>
          <w:iCs w:val="0"/>
          <w:u w:val="none"/>
          <w:vertAlign w:val="baseline"/>
          <w:rtl w:val="0"/>
        </w:rPr>
        <w:pict w14:anchorId="07B25477">
          <v:rect id="_x0000_i1025" style="width:0;height:1.5pt" o:hralign="center" o:hrstd="t" o:hr="t" fillcolor="#a0a0a0" stroked="f"/>
        </w:pict>
      </w:r>
    </w:p>
    <w:p w:rsidR="00415DC4" w:rsidRDefault="0006556A">
      <w:pPr>
        <w:spacing w:after="0" w:line="240" w:lineRule="auto"/>
        <w:jc w:val="both"/>
        <w:bidi w:val="0"/>
      </w:pPr>
      <w:bookmarkStart w:id="1" w:name="_gjdgxs" w:colFirst="0" w:colLast="0"/>
      <w:bookmarkEnd w:id="1"/>
      <w:r>
        <w:rPr>
          <w:lang w:eastAsia="zh-HK"/>
          <w:b w:val="0"/>
          <w:bCs w:val="0"/>
          <w:i w:val="0"/>
          <w:iCs w:val="0"/>
          <w:u w:val="none"/>
          <w:vertAlign w:val="baseline"/>
          <w:rtl w:val="0"/>
        </w:rPr>
        <w:t xml:space="preserve">本文件概述了聯邦2024財政年度（FFY 24）《殘障人士教育法》（IDEA）撥款申請草案中預留資金的撥款申請類別、各類別中受支持的相應活動和擬定的各類別資金需求。本文件所概述的活動符合路易斯安那州的學生、教育工作者和家庭的需求，並支持路易斯安那州的重點工作和最佳實踐，有助於為殘障學生提供高品質、具有包容性的教育。 </w:t>
      </w:r>
    </w:p>
    <w:p w:rsidR="00415DC4" w:rsidRDefault="00415DC4">
      <w:pPr>
        <w:spacing w:after="0" w:line="240" w:lineRule="auto"/>
      </w:pPr>
      <w:bookmarkStart w:id="2" w:name="_bfjt4mqsxwqg" w:colFirst="0" w:colLast="0"/>
      <w:bookmarkEnd w:id="2"/>
    </w:p>
    <w:p w:rsidR="00415DC4" w:rsidRDefault="0006556A">
      <w:pPr>
        <w:spacing w:after="0" w:line="240" w:lineRule="auto"/>
        <w:bidi w:val="0"/>
      </w:pPr>
      <w:bookmarkStart w:id="3" w:name="_o9xzqm1tp0iy" w:colFirst="0" w:colLast="0"/>
      <w:bookmarkEnd w:id="3"/>
      <w:r>
        <w:rPr>
          <w:lang w:eastAsia="zh-HK"/>
          <w:b w:val="0"/>
          <w:bCs w:val="0"/>
          <w:i w:val="0"/>
          <w:iCs w:val="0"/>
          <w:u w:val="none"/>
          <w:vertAlign w:val="baseline"/>
          <w:rtl w:val="0"/>
        </w:rPr>
        <w:t xml:space="preserve">雖然路易斯安那州教育部（ LDOE ）尚未收到特殊教育計畫辦公室（OSEP）的撥款，但OSEP已指示各州按照2023財政年度申請的撥款金額（4,610,639美元用於行政管理，26,154,696美元用作預留資金）初步製定活動草案，並在收到2024財政年度撥款表後另行更新金額數目，以便使最終提交的申請與2024財政年度撥款總額保持一致。</w:t>
      </w:r>
    </w:p>
    <w:p w:rsidR="00415DC4" w:rsidRDefault="00415DC4">
      <w:pPr>
        <w:spacing w:line="240" w:lineRule="auto"/>
      </w:pPr>
    </w:p>
    <w:p w:rsidR="00415DC4" w:rsidRDefault="00415DC4">
      <w:pPr>
        <w:spacing w:after="0" w:line="240" w:lineRule="auto"/>
        <w:rPr>
          <w:rFonts w:ascii="Calibri" w:eastAsia="Calibri" w:hAnsi="Calibri" w:cs="Calibri"/>
          <w:color w:val="000000"/>
        </w:rPr>
      </w:pPr>
      <w:bookmarkStart w:id="4" w:name="_b4bffohujjm5" w:colFirst="0" w:colLast="0"/>
      <w:bookmarkEnd w:id="4"/>
    </w:p>
    <w:tbl>
      <w:tblPr>
        <w:tblStyle w:val="a"/>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600"/>
        <w:gridCol w:w="435"/>
        <w:gridCol w:w="2445"/>
      </w:tblGrid>
      <w:tr w:rsidR="00415DC4">
        <w:tc>
          <w:tcPr>
            <w:tcW w:w="3930"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eastAsia="zh-HK"/>
                <w:b w:val="1"/>
                <w:bCs w:val="1"/>
                <w:i w:val="0"/>
                <w:iCs w:val="0"/>
                <w:u w:val="none"/>
                <w:vertAlign w:val="baseline"/>
                <w:rtl w:val="0"/>
              </w:rPr>
              <w:t xml:space="preserve">其他州級活動</w:t>
            </w:r>
          </w:p>
        </w:tc>
        <w:tc>
          <w:tcPr>
            <w:tcW w:w="3600"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eastAsia="zh-HK"/>
                <w:b w:val="1"/>
                <w:bCs w:val="1"/>
                <w:i w:val="0"/>
                <w:iCs w:val="0"/>
                <w:u w:val="none"/>
                <w:vertAlign w:val="baseline"/>
                <w:rtl w:val="0"/>
              </w:rPr>
              <w:t xml:space="preserve">活動和說明</w:t>
            </w:r>
          </w:p>
        </w:tc>
        <w:tc>
          <w:tcPr>
            <w:tcW w:w="435" w:type="dxa"/>
            <w:shd w:val="clear" w:color="auto" w:fill="017F92"/>
            <w:tcMar>
              <w:top w:w="100" w:type="dxa"/>
              <w:left w:w="100" w:type="dxa"/>
              <w:bottom w:w="100" w:type="dxa"/>
              <w:right w:w="100" w:type="dxa"/>
            </w:tcMar>
          </w:tcPr>
          <w:p w:rsidR="00415DC4" w:rsidRDefault="00415DC4">
            <w:pPr>
              <w:pBdr>
                <w:top w:val="nil"/>
                <w:left w:val="nil"/>
                <w:bottom w:val="nil"/>
                <w:right w:val="nil"/>
                <w:between w:val="nil"/>
              </w:pBdr>
              <w:spacing w:after="0" w:line="240" w:lineRule="auto"/>
              <w:ind w:left="140"/>
              <w:rPr>
                <w:color w:val="FFFFFF"/>
              </w:rPr>
            </w:pPr>
          </w:p>
        </w:tc>
        <w:tc>
          <w:tcPr>
            <w:tcW w:w="2445"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eastAsia="zh-HK"/>
                <w:b w:val="1"/>
                <w:bCs w:val="1"/>
                <w:i w:val="0"/>
                <w:iCs w:val="0"/>
                <w:u w:val="none"/>
                <w:vertAlign w:val="baseline"/>
                <w:rtl w:val="0"/>
              </w:rPr>
              <w:t xml:space="preserve">金額</w:t>
            </w:r>
            <w:r>
              <w:rPr>
                <w:color w:val="FFFFFF"/>
                <w:lang w:eastAsia="zh-HK"/>
                <w:b w:val="0"/>
                <w:bCs w:val="0"/>
                <w:i w:val="0"/>
                <w:iCs w:val="0"/>
                <w:u w:val="none"/>
                <w:vertAlign w:val="baseline"/>
                <w:rtl w:val="0"/>
              </w:rPr>
              <w:t xml:space="preserve"> </w:t>
            </w:r>
          </w:p>
        </w:tc>
      </w:tr>
      <w:tr w:rsidR="00415DC4">
        <w:tc>
          <w:tcPr>
            <w:tcW w:w="3930" w:type="dxa"/>
            <w:tcBorders>
              <w:bottom w:val="single" w:sz="6" w:space="0" w:color="000000"/>
            </w:tcBorders>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根據《美國法典》</w:t>
            </w:r>
          </w:p>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第20編第1411(e)(2)(A)條和</w:t>
            </w:r>
          </w:p>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《聯邦法規》第34編第300.704條所預留之</w:t>
            </w:r>
          </w:p>
          <w:p w:rsidR="00415DC4" w:rsidRDefault="0006556A">
            <w:pPr>
              <w:widowControl w:val="0"/>
              <w:spacing w:after="0" w:line="240" w:lineRule="auto"/>
              <w:rPr>
                <w:rFonts w:ascii="Calibri" w:eastAsia="Calibri" w:hAnsi="Calibri" w:cs="Calibri"/>
                <w:color w:val="000000"/>
              </w:rPr>
              <w:bidi w:val="0"/>
            </w:pPr>
            <w:r>
              <w:rPr>
                <w:color w:val="4D4D4F"/>
                <w:lang w:eastAsia="zh-HK"/>
                <w:b w:val="0"/>
                <w:bCs w:val="0"/>
                <w:i w:val="0"/>
                <w:iCs w:val="0"/>
                <w:u w:val="none"/>
                <w:vertAlign w:val="baseline"/>
                <w:rtl w:val="0"/>
              </w:rPr>
              <w:t xml:space="preserve">必要活動資金應用於進行以下活動：</w:t>
            </w:r>
          </w:p>
        </w:tc>
        <w:tc>
          <w:tcPr>
            <w:tcW w:w="3600"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rPr>
                <w:rFonts w:ascii="Calibri" w:eastAsia="Calibri" w:hAnsi="Calibri" w:cs="Calibri"/>
                <w:color w:val="000000"/>
              </w:rPr>
            </w:pPr>
          </w:p>
        </w:tc>
        <w:tc>
          <w:tcPr>
            <w:tcW w:w="435"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rPr>
                <w:rFonts w:ascii="Calibri" w:eastAsia="Calibri" w:hAnsi="Calibri" w:cs="Calibri"/>
                <w:color w:val="000000"/>
              </w:rPr>
            </w:pPr>
          </w:p>
        </w:tc>
        <w:tc>
          <w:tcPr>
            <w:tcW w:w="2445"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jc w:val="right"/>
              <w:rPr>
                <w:rFonts w:ascii="Calibri" w:eastAsia="Calibri" w:hAnsi="Calibri" w:cs="Calibri"/>
                <w:color w:val="000000"/>
              </w:rPr>
            </w:pPr>
          </w:p>
        </w:tc>
      </w:tr>
      <w:tr w:rsidR="00415DC4">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用於監督、執法和投訴調查。</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全州監督</w:t>
            </w:r>
          </w:p>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投訴調查</w:t>
            </w:r>
          </w:p>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特別主事官</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h.</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$793,168</w:t>
            </w:r>
          </w:p>
        </w:tc>
      </w:tr>
      <w:tr w:rsidR="00415DC4">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啟動和實施根據《美國法典》第20編第1415I條和《聯邦法規》第34編第300.704條所規定的調解程序，包括支付調解員和輔助人員費用。</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numPr>
                <w:ilvl w:val="0"/>
                <w:numId w:val="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州調解員</w:t>
            </w:r>
          </w:p>
          <w:p w:rsidR="00415DC4" w:rsidRDefault="0006556A">
            <w:pPr>
              <w:widowControl w:val="0"/>
              <w:numPr>
                <w:ilvl w:val="0"/>
                <w:numId w:val="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IEP協調員</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i.</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$350,000</w:t>
            </w:r>
          </w:p>
        </w:tc>
      </w:tr>
      <w:tr w:rsidR="00415DC4">
        <w:trPr>
          <w:trHeight w:val="1290"/>
        </w:trPr>
        <w:tc>
          <w:tcPr>
            <w:tcW w:w="3930" w:type="dxa"/>
            <w:tcBorders>
              <w:top w:val="single" w:sz="6" w:space="0" w:color="000000"/>
            </w:tcBorders>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根據《美國法典》第20編第1411(e)(2)(A)條和《聯邦法規》第34編第300.704條所預留的授權活動資金可用於進行以下活動：</w:t>
            </w:r>
          </w:p>
        </w:tc>
        <w:tc>
          <w:tcPr>
            <w:tcW w:w="3600"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2445"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提供支援服務和直接服務，包括技術援助、人員配備、專業能力發展和培訓。</w:t>
            </w:r>
          </w:p>
        </w:tc>
        <w:tc>
          <w:tcPr>
            <w:tcW w:w="3600" w:type="dxa"/>
            <w:tcMar>
              <w:top w:w="100" w:type="dxa"/>
              <w:left w:w="100" w:type="dxa"/>
              <w:bottom w:w="100" w:type="dxa"/>
              <w:right w:w="100" w:type="dxa"/>
            </w:tcMar>
          </w:tcPr>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為在職教育工作者提供教師領導諮詢和培訓機會，並專注於特殊教育</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口譯服務</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為殘障學生家庭提供地區技術援助 </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為殘障學生家庭提供基於網路的支援</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為家庭和社區成員提供工具和資源，以便其了解特殊教育的重要組成部分，如家長調查問卷</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建立技術援助和專業能力發展夥伴關係，為殘障學生接受專業輔導和相關服務提供支援</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觀察K-2班級並給予回饋，以支持高品質服務</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為特殊教育工作者、學生評估和相關服務提供者提供專業能力發展機會</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在教師領導高峰會（ Teacher Leader Summit ）上，提升為身心障礙學生提供支援的行政人員、教育工作者和輔助人員的能力</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為行政人員和教育工作者提供具有包容性的中學經驗支援和CTE經驗支援</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j.</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$1,910,258</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協助地方教育機構為殘障兒童提供積極的行為介入和支援以及適宜的心理健康服務。</w:t>
            </w:r>
          </w:p>
        </w:tc>
        <w:tc>
          <w:tcPr>
            <w:tcW w:w="3600" w:type="dxa"/>
            <w:tcMar>
              <w:top w:w="100" w:type="dxa"/>
              <w:left w:w="100" w:type="dxa"/>
              <w:bottom w:w="100" w:type="dxa"/>
              <w:right w:w="100" w:type="dxa"/>
            </w:tcMar>
          </w:tcPr>
          <w:p w:rsidR="00415DC4" w:rsidRDefault="0006556A">
            <w:pPr>
              <w:widowControl w:val="0"/>
              <w:numPr>
                <w:ilvl w:val="0"/>
                <w:numId w:val="4"/>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實施實證行為介入、支持和策略。</w:t>
            </w:r>
          </w:p>
          <w:p w:rsidR="00415DC4" w:rsidRDefault="0006556A">
            <w:pPr>
              <w:widowControl w:val="0"/>
              <w:numPr>
                <w:ilvl w:val="0"/>
                <w:numId w:val="4"/>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為教育工作者提供指導和專業能力發展機會，以支援學生的行為/心理健康需求</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k.</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$475,000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協助地方教育機構解決人員短缺問題。</w:t>
            </w:r>
          </w:p>
        </w:tc>
        <w:tc>
          <w:tcPr>
            <w:tcW w:w="3600" w:type="dxa"/>
            <w:shd w:val="clear" w:color="auto" w:fill="auto"/>
            <w:tcMar>
              <w:top w:w="100" w:type="dxa"/>
              <w:left w:w="100" w:type="dxa"/>
              <w:bottom w:w="100" w:type="dxa"/>
              <w:right w:w="100" w:type="dxa"/>
            </w:tcMar>
          </w:tcPr>
          <w:p w:rsidR="00415DC4" w:rsidRDefault="0006556A">
            <w:pPr>
              <w:widowControl w:val="0"/>
              <w:numPr>
                <w:ilvl w:val="0"/>
                <w:numId w:val="5"/>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在人員短缺領域，以創新的方式將地方教育機構與相關服務提供者連接起來</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l.</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$800,000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支持能力建構活動、提高地方教育機構提供服務的水平，以提高殘障兒童的學業成績。</w:t>
            </w:r>
          </w:p>
        </w:tc>
        <w:tc>
          <w:tcPr>
            <w:tcW w:w="3600" w:type="dxa"/>
            <w:tcMar>
              <w:top w:w="100" w:type="dxa"/>
              <w:left w:w="100" w:type="dxa"/>
              <w:bottom w:w="100" w:type="dxa"/>
              <w:right w:w="100" w:type="dxa"/>
            </w:tcMar>
          </w:tcPr>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為地方教育機構（LEA）提供區域支援和技術援助</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為教師提供指導和專業能力發展支援，以便其幫助自閉症學生 </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為教師提供指導和專業能力發展支援，以便其幫助有複雜醫療需求的學生</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提供服務，以提高教育工作者制定並實施個別化教育計畫和運用數據來支援課堂教學的能力；特殊教育報告</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建立技術援助和專業能力發展夥伴關係，以提高特殊教育領導能力，為殘障學生提供專業指導及相關服務</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m.</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$4,536,912</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支援文書工作減負活動，包括擴大IEP流程的技術使用範圍。</w:t>
            </w:r>
          </w:p>
        </w:tc>
        <w:tc>
          <w:tcPr>
            <w:tcW w:w="3600" w:type="dxa"/>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n.</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$0</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提升身心障礙兒童在課堂上的科技運用，以增強學習效果。</w:t>
            </w:r>
          </w:p>
        </w:tc>
        <w:tc>
          <w:tcPr>
            <w:tcW w:w="3600" w:type="dxa"/>
            <w:tcMar>
              <w:top w:w="100" w:type="dxa"/>
              <w:left w:w="100" w:type="dxa"/>
              <w:bottom w:w="100" w:type="dxa"/>
              <w:right w:w="100" w:type="dxa"/>
            </w:tcMar>
          </w:tcPr>
          <w:p w:rsidR="00415DC4" w:rsidRDefault="0006556A">
            <w:pPr>
              <w:widowControl w:val="0"/>
              <w:numPr>
                <w:ilvl w:val="0"/>
                <w:numId w:val="2"/>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提供技術運用的訓練和資源，以滿足個人學習需求</w:t>
            </w:r>
          </w:p>
          <w:p w:rsidR="00415DC4" w:rsidRDefault="0006556A">
            <w:pPr>
              <w:widowControl w:val="0"/>
              <w:numPr>
                <w:ilvl w:val="0"/>
                <w:numId w:val="2"/>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無障礙教育資料</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o.</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$600,000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支援學生使用技術，包括符合通用設計原則的技術和輔助技術裝置，以便最大限度幫助殘障兒童學習普通教育課程。</w:t>
            </w:r>
          </w:p>
        </w:tc>
        <w:tc>
          <w:tcPr>
            <w:tcW w:w="3600" w:type="dxa"/>
            <w:tcMar>
              <w:top w:w="100" w:type="dxa"/>
              <w:left w:w="100" w:type="dxa"/>
              <w:bottom w:w="100" w:type="dxa"/>
              <w:right w:w="100" w:type="dxa"/>
            </w:tcMar>
          </w:tcPr>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提供技術運用的培訓和資源，以支援差異化課堂教學</w:t>
            </w:r>
          </w:p>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無障礙教育資料</w:t>
            </w:r>
          </w:p>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支援更新視力障礙資格標準</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p.</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$500,000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制定並實施過渡計畫，包括與支援殘障兒童過渡到中學後活動的相關機構就服務事宜進行協商。</w:t>
            </w:r>
          </w:p>
        </w:tc>
        <w:tc>
          <w:tcPr>
            <w:tcW w:w="3600" w:type="dxa"/>
            <w:tcMar>
              <w:top w:w="100" w:type="dxa"/>
              <w:left w:w="100" w:type="dxa"/>
              <w:bottom w:w="100" w:type="dxa"/>
              <w:right w:w="100" w:type="dxa"/>
            </w:tcMar>
          </w:tcPr>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隨著殘障學生從初中升入高中，支援其培養領導能力並做好職業準備</w:t>
            </w:r>
          </w:p>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透過合作為身心障礙學生提供青年領袖論壇（ Youth Leadership Forum ）</w:t>
            </w:r>
          </w:p>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為家庭和社區成員提供網路工具和資源，以便其了解特殊教育的重要組成部分</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q. </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$1,843,308</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為被學校開除的殘障兒童提供替代性計畫，為懲教機構中的殘障兒童、就讀於州立學校或州資助學校的兒童和特許學校中的殘障兒童提供服務。</w:t>
            </w:r>
          </w:p>
        </w:tc>
        <w:tc>
          <w:tcPr>
            <w:tcW w:w="3600" w:type="dxa"/>
            <w:tcMar>
              <w:top w:w="100" w:type="dxa"/>
              <w:left w:w="100" w:type="dxa"/>
              <w:bottom w:w="100" w:type="dxa"/>
              <w:right w:w="100" w:type="dxa"/>
            </w:tcMar>
          </w:tcPr>
          <w:p w:rsidR="00415DC4" w:rsidRDefault="0006556A">
            <w:pPr>
              <w:widowControl w:val="0"/>
              <w:numPr>
                <w:ilvl w:val="0"/>
                <w:numId w:val="10"/>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為州立學校中參與替代性計畫的學生提供行為支援</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r.</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$80,000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根據1965年《初中等教育法》（ ESEA ）第1111(b)條和第1201條規定，支持為殘障兒童制定並提供適當的適應性調整，或製定並提供有效可靠的替代性評估，以評估殘障兒童的表現。</w:t>
            </w:r>
          </w:p>
        </w:tc>
        <w:tc>
          <w:tcPr>
            <w:tcW w:w="3600" w:type="dxa"/>
            <w:tcMar>
              <w:top w:w="100" w:type="dxa"/>
              <w:left w:w="100" w:type="dxa"/>
              <w:bottom w:w="100" w:type="dxa"/>
              <w:right w:w="100" w:type="dxa"/>
            </w:tcMar>
          </w:tcPr>
          <w:p w:rsidR="00415DC4" w:rsidRDefault="0006556A">
            <w:pPr>
              <w:widowControl w:val="0"/>
              <w:numPr>
                <w:ilvl w:val="0"/>
                <w:numId w:val="1"/>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評估適應性調整：為在常規州級評估中提供適應性調整提供資金</w:t>
            </w:r>
          </w:p>
          <w:p w:rsidR="00415DC4" w:rsidRDefault="0006556A">
            <w:pPr>
              <w:widowControl w:val="0"/>
              <w:numPr>
                <w:ilvl w:val="0"/>
                <w:numId w:val="1"/>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替代性評估：為制定和提供替代性評估提供資金</w:t>
            </w:r>
          </w:p>
        </w:tc>
        <w:tc>
          <w:tcPr>
            <w:tcW w:w="43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s.</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$8,000,324</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根據部分殘障兒童學業表現持續不佳的情況，為學校和地方教育機構提供技術援助，為依ESEA第1111(d)條規定提供全面支持並開展改進活動或提供針對性支援並開展改善活動的學校或地方教育機構提供直接服務，包括ESEA第1003A(c)(3)條所述的為殘障兒童提供的直接學生服務，包括為殘障兒童的特殊教育教師和普通教育教師提供專業能力發展機會，讓其在科學研究的基礎上，改進教育教學，從而依照ESEA第1111(b)(1)條所述具有挑戰性的學術標準，提高兒童的學業成績。</w:t>
            </w:r>
          </w:p>
        </w:tc>
        <w:tc>
          <w:tcPr>
            <w:tcW w:w="3600" w:type="dxa"/>
            <w:tcMar>
              <w:top w:w="100" w:type="dxa"/>
              <w:left w:w="100" w:type="dxa"/>
              <w:bottom w:w="100" w:type="dxa"/>
              <w:right w:w="100" w:type="dxa"/>
            </w:tcMar>
          </w:tcPr>
          <w:p w:rsidR="00415DC4" w:rsidRDefault="0006556A">
            <w:pPr>
              <w:widowControl w:val="0"/>
              <w:numPr>
                <w:ilvl w:val="0"/>
                <w:numId w:val="6"/>
              </w:numPr>
              <w:spacing w:after="0" w:line="240" w:lineRule="auto"/>
              <w:rPr>
                <w:rFonts w:ascii="Calibri" w:eastAsia="Calibri" w:hAnsi="Calibri" w:cs="Calibri"/>
                <w:color w:val="000000"/>
              </w:rPr>
              <w:bidi w:val="0"/>
            </w:pPr>
            <w:r>
              <w:rPr>
                <w:color w:val="4D4D4F"/>
                <w:lang w:eastAsia="zh-HK"/>
                <w:b w:val="0"/>
                <w:bCs w:val="0"/>
                <w:i w:val="0"/>
                <w:iCs w:val="0"/>
                <w:u w:val="none"/>
                <w:vertAlign w:val="baseline"/>
                <w:rtl w:val="0"/>
              </w:rPr>
              <w:t xml:space="preserve">對於部分因殘障學生的學業表現持續性不佳而被認定為需要緊急介入的學校，支援其針對殘障學生重新設計計畫 </w:t>
            </w:r>
          </w:p>
        </w:tc>
        <w:tc>
          <w:tcPr>
            <w:tcW w:w="435"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t.</w:t>
            </w:r>
          </w:p>
        </w:tc>
        <w:tc>
          <w:tcPr>
            <w:tcW w:w="2445" w:type="dxa"/>
            <w:tcMar>
              <w:top w:w="100" w:type="dxa"/>
              <w:left w:w="100" w:type="dxa"/>
              <w:bottom w:w="100" w:type="dxa"/>
              <w:right w:w="100" w:type="dxa"/>
            </w:tcMar>
          </w:tcPr>
          <w:p w:rsidR="00415DC4" w:rsidRDefault="0006556A">
            <w:pPr>
              <w:widowControl w:val="0"/>
              <w:spacing w:after="0" w:line="240" w:lineRule="auto"/>
              <w:jc w:val="right"/>
              <w:rPr>
                <w:color w:val="4D4D4F"/>
              </w:rPr>
              <w:bidi w:val="0"/>
            </w:pPr>
            <w:r>
              <w:rPr>
                <w:color w:val="4D4D4F"/>
                <w:lang w:eastAsia="zh-HK"/>
                <w:b w:val="0"/>
                <w:bCs w:val="0"/>
                <w:i w:val="0"/>
                <w:iCs w:val="0"/>
                <w:u w:val="none"/>
                <w:vertAlign w:val="baseline"/>
                <w:rtl w:val="0"/>
              </w:rPr>
              <w:t xml:space="preserve">$1,865,726</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1"/>
                <w:bCs w:val="1"/>
                <w:i w:val="0"/>
                <w:iCs w:val="0"/>
                <w:u w:val="none"/>
                <w:vertAlign w:val="baseline"/>
                <w:rtl w:val="0"/>
              </w:rPr>
              <w:t xml:space="preserve">地方教育機構風險儲備金</w:t>
            </w:r>
            <w:r>
              <w:rPr>
                <w:color w:val="4D4D4F"/>
                <w:lang w:eastAsia="zh-HK"/>
                <w:b w:val="0"/>
                <w:bCs w:val="0"/>
                <w:i w:val="0"/>
                <w:iCs w:val="0"/>
                <w:u w:val="none"/>
                <w:vertAlign w:val="baseline"/>
                <w:rtl w:val="0"/>
              </w:rPr>
              <w:t xml:space="preserve">（《美國法典》第20編第1411 (e)(3)(A)條）：為協助地方教育機構（包括身為地方教育機構或地方教育機構聯盟成員的特許學校）滿足有較高需求的殘障兒童的需求，各州每一財政年度可選擇留存該州根據《美國法典》第20編第1411 (e)(2)(A)條和《聯邦法規》第34編第300.704條所預留的州級活動資金的10%用作儲備金。</w:t>
            </w:r>
          </w:p>
        </w:tc>
        <w:tc>
          <w:tcPr>
            <w:tcW w:w="3600"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r>
      <w:tr w:rsidR="00415DC4">
        <w:trPr>
          <w:trHeight w:val="1860"/>
        </w:trPr>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根據《美國法典》第20編第1411(e)(3)條規定，在高成本基金成立的第一個財政年度及之後的財政年度，設立高成本基金並從該基金向地方教育機構撥款；以及</w:t>
            </w:r>
          </w:p>
        </w:tc>
        <w:tc>
          <w:tcPr>
            <w:tcW w:w="3600" w:type="dxa"/>
            <w:tcMar>
              <w:top w:w="100" w:type="dxa"/>
              <w:left w:w="100" w:type="dxa"/>
              <w:bottom w:w="100" w:type="dxa"/>
              <w:right w:w="100" w:type="dxa"/>
            </w:tcMar>
          </w:tcPr>
          <w:p w:rsidR="00415DC4" w:rsidRDefault="0006556A">
            <w:pPr>
              <w:widowControl w:val="0"/>
              <w:numPr>
                <w:ilvl w:val="0"/>
                <w:numId w:val="12"/>
              </w:numPr>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設立高成本基金儲備，以支援與有複雜需求的學生相關的其他費用</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u.</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HK"/>
                <w:b w:val="0"/>
                <w:bCs w:val="0"/>
                <w:i w:val="0"/>
                <w:iCs w:val="0"/>
                <w:u w:val="none"/>
                <w:vertAlign w:val="baseline"/>
                <w:rtl w:val="0"/>
              </w:rPr>
              <w:t xml:space="preserve">$4,400,000</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支持由州政府、地方教育機構或地方教育機構聯盟成員以創新有效的方式分擔費用， </w:t>
            </w:r>
          </w:p>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具體方式由州政府與地方教育機構代表根據《美國法典》第20編第1411(e)(3)(B)(ii)條規定協商確定[金額不得超過地方教育機構風險儲備金的5%]。</w:t>
            </w:r>
          </w:p>
        </w:tc>
        <w:tc>
          <w:tcPr>
            <w:tcW w:w="3600" w:type="dxa"/>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v.</w:t>
            </w:r>
          </w:p>
        </w:tc>
        <w:tc>
          <w:tcPr>
            <w:tcW w:w="2445" w:type="dxa"/>
            <w:tcMar>
              <w:top w:w="100" w:type="dxa"/>
              <w:left w:w="100" w:type="dxa"/>
              <w:bottom w:w="100" w:type="dxa"/>
              <w:right w:w="100" w:type="dxa"/>
            </w:tcMar>
          </w:tcPr>
          <w:p w:rsidR="00415DC4" w:rsidRDefault="0006556A">
            <w:pPr>
              <w:widowControl w:val="0"/>
              <w:spacing w:after="0" w:line="240" w:lineRule="auto"/>
              <w:jc w:val="right"/>
              <w:rPr>
                <w:color w:val="4D4D4F"/>
              </w:rPr>
              <w:bidi w:val="0"/>
            </w:pPr>
            <w:r>
              <w:rPr>
                <w:color w:val="4D4D4F"/>
                <w:lang w:eastAsia="zh-HK"/>
                <w:b w:val="0"/>
                <w:bCs w:val="0"/>
                <w:i w:val="0"/>
                <w:iCs w:val="0"/>
                <w:u w:val="none"/>
                <w:vertAlign w:val="baseline"/>
                <w:rtl w:val="0"/>
              </w:rPr>
              <w:t xml:space="preserve">$0</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設立高成本基金（《美國法典》第20編第1411(e)(3)(B)(i)條；《聯邦法規》第34編第300.704條）</w:t>
            </w:r>
          </w:p>
        </w:tc>
        <w:tc>
          <w:tcPr>
            <w:tcW w:w="3600"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HK"/>
                <w:b w:val="0"/>
                <w:bCs w:val="0"/>
                <w:i w:val="0"/>
                <w:iCs w:val="0"/>
                <w:u w:val="none"/>
                <w:vertAlign w:val="baseline"/>
                <w:rtl w:val="0"/>
              </w:rPr>
              <w:t xml:space="preserve">各州不得使用根據《美國法典》第20編第1411(e)(3)( A )(i)條和《聯邦法規》第34編第300.704條所預留的州儲備資金，但可使用根據《美國法典》第20編第1411(e)(1)條和《聯邦法規》第34編第300.704條所預留的州儲備資金建立並支持高成本基金。</w:t>
            </w:r>
          </w:p>
        </w:tc>
        <w:tc>
          <w:tcPr>
            <w:tcW w:w="3600"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r>
    </w:tbl>
    <w:p w:rsidR="00415DC4" w:rsidRDefault="00415DC4">
      <w:pPr>
        <w:spacing w:after="0" w:line="240" w:lineRule="auto"/>
      </w:pPr>
      <w:bookmarkStart w:id="5" w:name="_6kpmys74hr9e" w:colFirst="0" w:colLast="0"/>
      <w:bookmarkEnd w:id="5"/>
    </w:p>
    <w:p w:rsidR="00415DC4" w:rsidRDefault="00415DC4">
      <w:pPr>
        <w:spacing w:line="240" w:lineRule="auto"/>
      </w:pPr>
    </w:p>
    <w:p w:rsidR="00415DC4" w:rsidRDefault="00415DC4">
      <w:pPr>
        <w:spacing w:line="240" w:lineRule="auto"/>
      </w:pPr>
    </w:p>
    <w:p w:rsidR="00415DC4" w:rsidRDefault="00415DC4">
      <w:pPr>
        <w:spacing w:line="240" w:lineRule="auto"/>
      </w:pPr>
    </w:p>
    <w:sectPr w:rsidR="00415DC4">
      <w:headerReference w:type="default" r:id="rId7"/>
      <w:footerReference w:type="default" r:id="rId8"/>
      <w:headerReference w:type="first" r:id="rId9"/>
      <w:footerReference w:type="first" r:id="rId10"/>
      <w:pgSz w:w="12240" w:h="15840"/>
      <w:pgMar w:top="1080" w:right="720" w:bottom="108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6A" w:rsidRDefault="0006556A">
      <w:pPr>
        <w:spacing w:after="0" w:line="240" w:lineRule="auto"/>
      </w:pPr>
      <w:r>
        <w:separator/>
      </w:r>
    </w:p>
  </w:endnote>
  <w:endnote w:type="continuationSeparator" w:id="0">
    <w:p w:rsidR="0006556A" w:rsidRDefault="0006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Medium">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sz w:val="16"/>
        <w:szCs w:val="16"/>
      </w:rPr>
      <w:bidi w:val="0"/>
    </w:pPr>
    <w:r>
      <w:rPr>
        <w:sz w:val="16"/>
        <w:szCs w:val="16"/>
        <w:lang w:eastAsia="zh-HK"/>
        <w:b w:val="1"/>
        <w:bCs w:val="1"/>
        <w:i w:val="0"/>
        <w:iCs w:val="0"/>
        <w:u w:val="none"/>
        <w:vertAlign w:val="baseline"/>
        <w:rtl w:val="0"/>
      </w:rPr>
      <w:t xml:space="preserve">路易斯安那州教育部</w:t>
    </w:r>
  </w:p>
  <w:p w:rsidR="00415DC4" w:rsidRDefault="0006556A">
    <w:pPr>
      <w:tabs>
        <w:tab w:val="right" w:pos="10800"/>
      </w:tabs>
      <w:spacing w:after="0"/>
      <w:bidi w:val="0"/>
    </w:pPr>
    <w:hyperlink r:id="rId1">
      <w:r>
        <w:rPr>
          <w:color w:val="017F92"/>
          <w:sz w:val="16"/>
          <w:szCs w:val="16"/>
          <w:lang w:eastAsia="zh-HK"/>
          <w:b w:val="0"/>
          <w:bCs w:val="0"/>
          <w:i w:val="0"/>
          <w:iCs w:val="0"/>
          <w:u w:val="single"/>
          <w:vertAlign w:val="baseline"/>
          <w:rtl w:val="0"/>
        </w:rPr>
        <w:t xml:space="preserve">doe.louisiana.gov</w:t>
      </w:r>
    </w:hyperlink>
    <w:r>
      <w:rPr>
        <w:sz w:val="16"/>
        <w:szCs w:val="16"/>
        <w:lang w:eastAsia="zh-HK"/>
        <w:b w:val="0"/>
        <w:bCs w:val="0"/>
        <w:i w:val="0"/>
        <w:iCs w:val="0"/>
        <w:u w:val="none"/>
        <w:vertAlign w:val="baseline"/>
        <w:rtl w:val="0"/>
      </w:rPr>
      <w:t xml:space="preserve">  |  P.O. Box 94064 •  Baton Rouge, LA •  70804-9064</w:t>
    </w:r>
    <w:r>
      <w:rPr>
        <w:sz w:val="16"/>
        <w:szCs w:val="16"/>
        <w:lang w:eastAsia="zh-HK"/>
        <w:b w:val="0"/>
        <w:bCs w:val="0"/>
        <w:i w:val="0"/>
        <w:iCs w:val="0"/>
        <w:u w:val="none"/>
        <w:vertAlign w:val="baseline"/>
        <w:rtl w:val="0"/>
      </w:rPr>
      <w:tab/>
    </w:r>
    <w:r>
      <w:rPr>
        <w:sz w:val="16"/>
        <w:szCs w:val="16"/>
        <w:lang w:eastAsia="zh-HK"/>
        <w:b w:val="0"/>
        <w:bCs w:val="0"/>
        <w:i w:val="0"/>
        <w:iCs w:val="0"/>
        <w:u w:val="none"/>
        <w:vertAlign w:val="baseline"/>
        <w:rtl w:val="0"/>
      </w:rPr>
      <w:t xml:space="preserve">頁碼：</w:t>
    </w:r>
    <w:r>
      <w:rPr>
        <w:sz w:val="16"/>
        <w:szCs w:val="16"/>
        <w:lang w:eastAsia="zh-HK"/>
        <w:b w:val="0"/>
        <w:bCs w:val="0"/>
        <w:i w:val="0"/>
        <w:iCs w:val="0"/>
        <w:u w:val="none"/>
        <w:vertAlign w:val="baseline"/>
        <w:rtl w:val="0"/>
      </w:rPr>
      <w:fldChar w:fldCharType="begin"/>
    </w:r>
    <w:r>
      <w:rPr>
        <w:sz w:val="16"/>
        <w:szCs w:val="16"/>
        <w:lang w:eastAsia="zh-HK"/>
        <w:b w:val="0"/>
        <w:bCs w:val="0"/>
        <w:i w:val="0"/>
        <w:iCs w:val="0"/>
        <w:u w:val="none"/>
        <w:vertAlign w:val="baseline"/>
        <w:rtl w:val="0"/>
      </w:rPr>
      <w:instrText>PAGE</w:instrText>
    </w:r>
    <w:r>
      <w:rPr>
        <w:sz w:val="16"/>
        <w:szCs w:val="16"/>
        <w:lang w:eastAsia="zh-HK"/>
        <w:b w:val="0"/>
        <w:bCs w:val="0"/>
        <w:i w:val="0"/>
        <w:iCs w:val="0"/>
        <w:u w:val="none"/>
        <w:vertAlign w:val="baseline"/>
        <w:rtl w:val="0"/>
      </w:rPr>
      <w:fldChar w:fldCharType="separate"/>
    </w:r>
    <w:r>
      <w:rPr>
        <w:noProof/>
        <w:sz w:val="16"/>
        <w:szCs w:val="16"/>
        <w:lang w:eastAsia="zh-HK"/>
        <w:b w:val="0"/>
        <w:bCs w:val="0"/>
        <w:i w:val="0"/>
        <w:iCs w:val="0"/>
        <w:u w:val="none"/>
        <w:vertAlign w:val="baseline"/>
        <w:rtl w:val="0"/>
      </w:rPr>
      <w:t xml:space="preserve">6</w:t>
    </w:r>
    <w:r>
      <w:rPr>
        <w:sz w:val="16"/>
        <w:szCs w:val="16"/>
        <w:lang w:eastAsia="zh-HK"/>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sz w:val="16"/>
        <w:szCs w:val="16"/>
      </w:rPr>
      <w:bidi w:val="0"/>
    </w:pPr>
    <w:r>
      <w:rPr>
        <w:sz w:val="16"/>
        <w:szCs w:val="16"/>
        <w:lang w:eastAsia="zh-HK"/>
        <w:b w:val="1"/>
        <w:bCs w:val="1"/>
        <w:i w:val="0"/>
        <w:iCs w:val="0"/>
        <w:u w:val="none"/>
        <w:vertAlign w:val="baseline"/>
        <w:rtl w:val="0"/>
      </w:rPr>
      <w:t xml:space="preserve">路易斯安那州教育部</w:t>
    </w:r>
  </w:p>
  <w:p w:rsidR="00415DC4" w:rsidRDefault="0006556A">
    <w:pPr>
      <w:tabs>
        <w:tab w:val="right" w:pos="10800"/>
      </w:tabs>
      <w:spacing w:after="0"/>
      <w:bidi w:val="0"/>
    </w:pPr>
    <w:hyperlink r:id="rId1">
      <w:r>
        <w:rPr>
          <w:color w:val="017F92"/>
          <w:sz w:val="16"/>
          <w:szCs w:val="16"/>
          <w:lang w:eastAsia="zh-HK"/>
          <w:b w:val="0"/>
          <w:bCs w:val="0"/>
          <w:i w:val="0"/>
          <w:iCs w:val="0"/>
          <w:u w:val="single"/>
          <w:vertAlign w:val="baseline"/>
          <w:rtl w:val="0"/>
        </w:rPr>
        <w:t xml:space="preserve">doe.louisiana.gov</w:t>
      </w:r>
    </w:hyperlink>
    <w:r>
      <w:rPr>
        <w:sz w:val="16"/>
        <w:szCs w:val="16"/>
        <w:lang w:eastAsia="zh-HK"/>
        <w:b w:val="0"/>
        <w:bCs w:val="0"/>
        <w:i w:val="0"/>
        <w:iCs w:val="0"/>
        <w:u w:val="none"/>
        <w:vertAlign w:val="baseline"/>
        <w:rtl w:val="0"/>
      </w:rPr>
      <w:t xml:space="preserve">  |  P.O. Box 94064 •  Baton Rouge, LA •  70804-9064</w:t>
    </w:r>
    <w:r>
      <w:rPr>
        <w:sz w:val="16"/>
        <w:szCs w:val="16"/>
        <w:lang w:eastAsia="zh-HK"/>
        <w:b w:val="0"/>
        <w:bCs w:val="0"/>
        <w:i w:val="0"/>
        <w:iCs w:val="0"/>
        <w:u w:val="none"/>
        <w:vertAlign w:val="baseline"/>
        <w:rtl w:val="0"/>
      </w:rPr>
      <w:tab/>
    </w:r>
    <w:r>
      <w:rPr>
        <w:sz w:val="16"/>
        <w:szCs w:val="16"/>
        <w:lang w:eastAsia="zh-HK"/>
        <w:b w:val="0"/>
        <w:bCs w:val="0"/>
        <w:i w:val="0"/>
        <w:iCs w:val="0"/>
        <w:u w:val="none"/>
        <w:vertAlign w:val="baseline"/>
        <w:rtl w:val="0"/>
      </w:rPr>
      <w:t xml:space="preserve">頁碼：</w:t>
    </w:r>
    <w:r>
      <w:rPr>
        <w:sz w:val="16"/>
        <w:szCs w:val="16"/>
        <w:lang w:eastAsia="zh-HK"/>
        <w:b w:val="0"/>
        <w:bCs w:val="0"/>
        <w:i w:val="0"/>
        <w:iCs w:val="0"/>
        <w:u w:val="none"/>
        <w:vertAlign w:val="baseline"/>
        <w:rtl w:val="0"/>
      </w:rPr>
      <w:fldChar w:fldCharType="begin"/>
    </w:r>
    <w:r>
      <w:rPr>
        <w:sz w:val="16"/>
        <w:szCs w:val="16"/>
        <w:lang w:eastAsia="zh-HK"/>
        <w:b w:val="0"/>
        <w:bCs w:val="0"/>
        <w:i w:val="0"/>
        <w:iCs w:val="0"/>
        <w:u w:val="none"/>
        <w:vertAlign w:val="baseline"/>
        <w:rtl w:val="0"/>
      </w:rPr>
      <w:instrText>PAGE</w:instrText>
    </w:r>
    <w:r>
      <w:rPr>
        <w:sz w:val="16"/>
        <w:szCs w:val="16"/>
        <w:lang w:eastAsia="zh-HK"/>
        <w:b w:val="0"/>
        <w:bCs w:val="0"/>
        <w:i w:val="0"/>
        <w:iCs w:val="0"/>
        <w:u w:val="none"/>
        <w:vertAlign w:val="baseline"/>
        <w:rtl w:val="0"/>
      </w:rPr>
      <w:fldChar w:fldCharType="separate"/>
    </w:r>
    <w:r>
      <w:rPr>
        <w:noProof/>
        <w:sz w:val="16"/>
        <w:szCs w:val="16"/>
        <w:lang w:eastAsia="zh-HK"/>
        <w:b w:val="0"/>
        <w:bCs w:val="0"/>
        <w:i w:val="0"/>
        <w:iCs w:val="0"/>
        <w:u w:val="none"/>
        <w:vertAlign w:val="baseline"/>
        <w:rtl w:val="0"/>
      </w:rPr>
      <w:t xml:space="preserve">1</w:t>
    </w:r>
    <w:r>
      <w:rPr>
        <w:sz w:val="16"/>
        <w:szCs w:val="16"/>
        <w:lang w:eastAsia="zh-HK"/>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6A" w:rsidRDefault="0006556A">
      <w:pPr>
        <w:spacing w:after="0" w:line="240" w:lineRule="auto"/>
      </w:pPr>
      <w:r>
        <w:separator/>
      </w:r>
    </w:p>
  </w:footnote>
  <w:footnote w:type="continuationSeparator" w:id="0">
    <w:p w:rsidR="0006556A" w:rsidRDefault="0006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sz w:val="12"/>
        <w:szCs w:val="12"/>
      </w:rPr>
      <w:bidi w:val="0"/>
    </w:pPr>
    <w:r>
      <w:rPr>
        <w:lang w:eastAsia="zh-HK"/>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1.5pt;height:272.15pt;rotation:315;z-index:-251658240;mso-position-horizontal:center;mso-position-horizontal-relative:margin;mso-position-vertical:center;mso-position-vertical-relative:margin" fillcolor="#e8eaed" stroked="f">
          <v:textpath style="font-family:&quot;&amp;quot&quot;;font-size:1pt" string="草案"/>
          <w10:wrap anchorx="margin" anchory="margin"/>
        </v:shape>
      </w:pict>
    </w:r>
    <w:r>
      <w:rPr>
        <w:noProof/>
        <w:lang w:eastAsia="zh-HK"/>
        <w:b w:val="0"/>
        <w:bCs w:val="0"/>
        <w:i w:val="0"/>
        <w:iCs w:val="0"/>
        <w:u w:val="none"/>
        <w:vertAlign w:val="baseline"/>
        <w:rtl w:val="0"/>
      </w:rPr>
      <w:drawing>
        <wp:anchor distT="0" distB="0" distL="0" distR="0" simplePos="0" relativeHeight="251656192" behindDoc="0" locked="0" layoutInCell="1" hidden="0" allowOverlap="1">
          <wp:simplePos x="0" y="0"/>
          <wp:positionH relativeFrom="column">
            <wp:posOffset>-695324</wp:posOffset>
          </wp:positionH>
          <wp:positionV relativeFrom="paragraph">
            <wp:posOffset>0</wp:posOffset>
          </wp:positionV>
          <wp:extent cx="8020050" cy="3000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10" r="40310"/>
                  <a:stretch>
                    <a:fillRect/>
                  </a:stretch>
                </pic:blipFill>
                <pic:spPr>
                  <a:xfrm>
                    <a:off x="0" y="0"/>
                    <a:ext cx="8020050" cy="3000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color w:val="4D4D4F"/>
      </w:rPr>
      <w:bidi w:val="0"/>
    </w:pPr>
    <w:r>
      <w:rPr>
        <w:lang w:eastAsia="zh-HK"/>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1.5pt;height:272.15pt;rotation:315;z-index:-251657216;mso-position-horizontal:center;mso-position-horizontal-relative:margin;mso-position-vertical:center;mso-position-vertical-relative:margin" fillcolor="#e8eaed" stroked="f">
          <v:textpath style="font-family:&quot;&amp;quot&quot;;font-size:1pt" string="草案"/>
          <w10:wrap anchorx="margin" anchory="margin"/>
        </v:shape>
      </w:pict>
    </w:r>
    <w:r>
      <w:rPr>
        <w:noProof/>
        <w:lang w:eastAsia="zh-HK"/>
        <w:b w:val="0"/>
        <w:bCs w:val="0"/>
        <w:i w:val="0"/>
        <w:iCs w:val="0"/>
        <w:u w:val="none"/>
        <w:vertAlign w:val="baseline"/>
        <w:rtl w:val="0"/>
      </w:rPr>
      <w:drawing>
        <wp:anchor distT="0" distB="0" distL="0" distR="0" simplePos="0" relativeHeight="251657216" behindDoc="0" locked="0" layoutInCell="1" hidden="0" allowOverlap="1">
          <wp:simplePos x="0" y="0"/>
          <wp:positionH relativeFrom="column">
            <wp:posOffset>-466724</wp:posOffset>
          </wp:positionH>
          <wp:positionV relativeFrom="paragraph">
            <wp:posOffset>0</wp:posOffset>
          </wp:positionV>
          <wp:extent cx="7791450" cy="120001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7" b="87"/>
                  <a:stretch>
                    <a:fillRect/>
                  </a:stretch>
                </pic:blipFill>
                <pic:spPr>
                  <a:xfrm>
                    <a:off x="0" y="0"/>
                    <a:ext cx="7791450" cy="1200012"/>
                  </a:xfrm>
                  <a:prstGeom prst="rect">
                    <a:avLst/>
                  </a:prstGeom>
                  <a:ln/>
                </pic:spPr>
              </pic:pic>
            </a:graphicData>
          </a:graphic>
        </wp:anchor>
      </w:drawing>
    </w:r>
  </w:p>
  <w:p w:rsidR="00415DC4" w:rsidRDefault="0006556A">
    <w:pPr>
      <w:rPr>
        <w:b/>
      </w:rPr>
      <w:bidi w:val="0"/>
    </w:pPr>
    <w:r>
      <w:rPr>
        <w:color w:val="3C1053"/>
        <w:sz w:val="30"/>
        <w:szCs w:val="30"/>
        <w:lang w:eastAsia="zh-HK"/>
        <w:b w:val="1"/>
        <w:bCs w:val="1"/>
        <w:i w:val="0"/>
        <w:iCs w:val="0"/>
        <w:u w:val="none"/>
        <w:vertAlign w:val="baseline"/>
        <w:rtl w:val="0"/>
      </w:rPr>
      <w:t xml:space="preserve">IDEA 聯邦2024財政年度 IDEA 撥款申請活動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728"/>
    <w:multiLevelType w:val="multilevel"/>
    <w:tmpl w:val="9394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F1"/>
    <w:multiLevelType w:val="multilevel"/>
    <w:tmpl w:val="B354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D39EC"/>
    <w:multiLevelType w:val="multilevel"/>
    <w:tmpl w:val="A196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86698"/>
    <w:multiLevelType w:val="multilevel"/>
    <w:tmpl w:val="204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3E66"/>
    <w:multiLevelType w:val="multilevel"/>
    <w:tmpl w:val="1F22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D74B8"/>
    <w:multiLevelType w:val="multilevel"/>
    <w:tmpl w:val="F8A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DAF"/>
    <w:multiLevelType w:val="multilevel"/>
    <w:tmpl w:val="4F50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32EAD"/>
    <w:multiLevelType w:val="multilevel"/>
    <w:tmpl w:val="E0F0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C4EFD"/>
    <w:multiLevelType w:val="multilevel"/>
    <w:tmpl w:val="19A0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962FC"/>
    <w:multiLevelType w:val="multilevel"/>
    <w:tmpl w:val="661A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34A46"/>
    <w:multiLevelType w:val="multilevel"/>
    <w:tmpl w:val="3462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32D5"/>
    <w:multiLevelType w:val="multilevel"/>
    <w:tmpl w:val="99A8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52B8A"/>
    <w:multiLevelType w:val="multilevel"/>
    <w:tmpl w:val="16B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11"/>
  </w:num>
  <w:num w:numId="5">
    <w:abstractNumId w:val="10"/>
  </w:num>
  <w:num w:numId="6">
    <w:abstractNumId w:val="1"/>
  </w:num>
  <w:num w:numId="7">
    <w:abstractNumId w:val="5"/>
  </w:num>
  <w:num w:numId="8">
    <w:abstractNumId w:val="3"/>
  </w:num>
  <w:num w:numId="9">
    <w:abstractNumId w:val="9"/>
  </w:num>
  <w:num w:numId="10">
    <w:abstractNumId w:val="8"/>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4"/>
    <w:rsid w:val="0006556A"/>
    <w:rsid w:val="0007144D"/>
    <w:rsid w:val="0041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018DE-2992-4D65-9BC5-F997ECF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ublic Sans" w:eastAsia="Public Sans" w:hAnsi="Public Sans" w:cs="Public Sans"/>
        <w:color w:val="4E4E51"/>
        <w:sz w:val="22"/>
        <w:szCs w:val="22"/>
        <w:lang w:val="en"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0"/>
      <w:ind w:left="-20"/>
      <w:outlineLvl w:val="0"/>
    </w:pPr>
    <w:rPr>
      <w:b/>
      <w:color w:val="3C1053"/>
      <w:sz w:val="48"/>
      <w:szCs w:val="48"/>
    </w:rPr>
  </w:style>
  <w:style w:type="paragraph" w:styleId="Heading2">
    <w:name w:val="heading 2"/>
    <w:basedOn w:val="Normal"/>
    <w:next w:val="Normal"/>
    <w:pPr>
      <w:keepNext/>
      <w:keepLines/>
      <w:spacing w:before="120" w:after="0"/>
      <w:outlineLvl w:val="1"/>
    </w:pPr>
    <w:rPr>
      <w:b/>
      <w:color w:val="017F92"/>
      <w:sz w:val="32"/>
      <w:szCs w:val="32"/>
    </w:rPr>
  </w:style>
  <w:style w:type="paragraph" w:styleId="Heading3">
    <w:name w:val="heading 3"/>
    <w:basedOn w:val="Normal"/>
    <w:next w:val="Normal"/>
    <w:pPr>
      <w:keepNext/>
      <w:keepLines/>
      <w:spacing w:before="200" w:after="0" w:line="240" w:lineRule="auto"/>
      <w:outlineLvl w:val="2"/>
    </w:pPr>
    <w:rPr>
      <w:b/>
      <w:sz w:val="24"/>
      <w:szCs w:val="24"/>
    </w:rPr>
  </w:style>
  <w:style w:type="paragraph" w:styleId="Heading4">
    <w:name w:val="heading 4"/>
    <w:basedOn w:val="Normal"/>
    <w:next w:val="Normal"/>
    <w:pPr>
      <w:keepNext/>
      <w:keepLines/>
      <w:spacing w:before="200" w:line="240" w:lineRule="auto"/>
      <w:outlineLvl w:val="3"/>
    </w:pPr>
    <w:rPr>
      <w:b/>
      <w:color w:val="4D4D4F"/>
      <w:sz w:val="20"/>
      <w:szCs w:val="20"/>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0" w:line="240" w:lineRule="auto"/>
    </w:pPr>
    <w:rPr>
      <w:b/>
      <w:color w:val="3C1053"/>
      <w:sz w:val="56"/>
      <w:szCs w:val="56"/>
    </w:rPr>
  </w:style>
  <w:style w:type="paragraph" w:styleId="Subtitle">
    <w:name w:val="Subtitle"/>
    <w:basedOn w:val="Normal"/>
    <w:next w:val="Normal"/>
    <w:pPr>
      <w:keepNext/>
      <w:keepLines/>
    </w:pPr>
    <w:rPr>
      <w:rFonts w:ascii="Public Sans Medium" w:eastAsia="Public Sans Medium" w:hAnsi="Public Sans Medium" w:cs="Public Sans Medium"/>
      <w:color w:val="3C10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hyperlink" TargetMode="External" Target="http://doe.louisiana.gov/" /></Relationships>
</file>

<file path=word/_rels/footer2.xml.rels><?xml version="1.0" encoding="UTF-8" standalone="yes"?>
<Relationships xmlns="http://schemas.openxmlformats.org/package/2006/relationships"><Relationship Id="rId1" Type="http://schemas.openxmlformats.org/officeDocument/2006/relationships/hyperlink" TargetMode="External" Target="http://doe.louisiana.gov/"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Meredith Jordan</cp:lastModifiedBy>
  <cp:revision>2</cp:revision>
  <dcterms:created xsi:type="dcterms:W3CDTF">2024-03-13T13:30:00Z</dcterms:created>
  <dcterms:modified xsi:type="dcterms:W3CDTF">2024-03-13T13:30:00Z</dcterms:modified>
</cp:coreProperties>
</file>