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BBDF31" w14:textId="77777777" w:rsidR="00415DC4" w:rsidRDefault="00000000">
      <w:pPr>
        <w:spacing w:line="240" w:lineRule="auto"/>
        <w:rPr>
          <w:color w:val="4D4D4F"/>
        </w:rPr>
      </w:pPr>
      <w:r>
        <w:rPr>
          <w:lang w:val="es-US"/>
        </w:rPr>
        <w:pict w14:anchorId="068B30BF">
          <v:rect id="_x0000_i1025" style="width:0;height:1.5pt" o:hralign="center" o:hrstd="t" o:hr="t" fillcolor="#a0a0a0" stroked="f"/>
        </w:pict>
      </w:r>
    </w:p>
    <w:p w14:paraId="376E4370" w14:textId="77777777" w:rsidR="00415DC4" w:rsidRPr="00D51B49" w:rsidRDefault="0006556A">
      <w:pPr>
        <w:spacing w:after="0" w:line="240" w:lineRule="auto"/>
        <w:jc w:val="both"/>
        <w:rPr>
          <w:lang w:val="es-ES"/>
        </w:rPr>
      </w:pPr>
      <w:bookmarkStart w:id="0" w:name="_gjdgxs" w:colFirst="0" w:colLast="0"/>
      <w:bookmarkEnd w:id="0"/>
      <w:r>
        <w:rPr>
          <w:lang w:val="es-US"/>
        </w:rPr>
        <w:t xml:space="preserve">En este documento se describen las categorías de la solicitud de subvención para apartar fondos en el proyecto de solicitud de subvención de la Ley de Educación de Personas con Discapacidades (IDEA, por sus siglas en inglés) del año fiscal federal (FFY 24), las actividades correspondientes que se respaldarían en cada categoría y las necesidades de financiamiento propuestas para cada categoría. Las actividades descritas en este documento responden a las necesidades de los estudiantes, educadores y familias de Luisiana y apoyan las prioridades y mejores prácticas de Luisiana para respaldar un recorrido educativo inclusivo y de alta calidad para los estudiantes con discapacidades. </w:t>
      </w:r>
    </w:p>
    <w:p w14:paraId="1C1DFFD3" w14:textId="77777777" w:rsidR="00415DC4" w:rsidRPr="00D51B49" w:rsidRDefault="00415DC4">
      <w:pPr>
        <w:spacing w:after="0" w:line="240" w:lineRule="auto"/>
        <w:rPr>
          <w:lang w:val="es-ES"/>
        </w:rPr>
      </w:pPr>
      <w:bookmarkStart w:id="1" w:name="_bfjt4mqsxwqg" w:colFirst="0" w:colLast="0"/>
      <w:bookmarkEnd w:id="1"/>
    </w:p>
    <w:p w14:paraId="45EBF6DA" w14:textId="77777777" w:rsidR="00415DC4" w:rsidRPr="00D51B49" w:rsidRDefault="0006556A">
      <w:pPr>
        <w:spacing w:after="0" w:line="240" w:lineRule="auto"/>
        <w:rPr>
          <w:lang w:val="es-ES"/>
        </w:rPr>
      </w:pPr>
      <w:bookmarkStart w:id="2" w:name="_o9xzqm1tp0iy" w:colFirst="0" w:colLast="0"/>
      <w:bookmarkEnd w:id="2"/>
      <w:r>
        <w:rPr>
          <w:lang w:val="es-US"/>
        </w:rPr>
        <w:t>Aunque el Departamento de Educación de Luisiana (LDOE, por sus siglas en inglés) no ha recibido asignaciones de la Oficina de Programas de Educación Especial (OSEP, por sus siglas en inglés), la OSEP recomendó a los estados que inicialmente lleven a cabo la preparación del proyecto de actividades con las asignaciones de la solicitud del año fiscal 2023 ($4,610,639 para cuestiones administrativas y $26,154,696 para apartar) y, una vez recibidas las tablas de asignación del año fiscal 2024, actualicen las cantidades en dólares para alinearse con la asignación total de 2024 antes de hacer la presentación final de la solicitud.</w:t>
      </w:r>
    </w:p>
    <w:p w14:paraId="0869E1B0" w14:textId="77777777" w:rsidR="00415DC4" w:rsidRPr="00D51B49" w:rsidRDefault="00415DC4">
      <w:pPr>
        <w:spacing w:line="240" w:lineRule="auto"/>
        <w:rPr>
          <w:lang w:val="es-ES"/>
        </w:rPr>
      </w:pPr>
    </w:p>
    <w:p w14:paraId="6103E444" w14:textId="77777777" w:rsidR="00415DC4" w:rsidRPr="00D51B49" w:rsidRDefault="00415DC4">
      <w:pPr>
        <w:spacing w:after="0" w:line="240" w:lineRule="auto"/>
        <w:rPr>
          <w:rFonts w:ascii="Calibri" w:eastAsia="Calibri" w:hAnsi="Calibri" w:cs="Calibri"/>
          <w:color w:val="000000"/>
          <w:lang w:val="es-ES"/>
        </w:rPr>
      </w:pPr>
      <w:bookmarkStart w:id="3" w:name="_b4bffohujjm5" w:colFirst="0" w:colLast="0"/>
      <w:bookmarkEnd w:id="3"/>
    </w:p>
    <w:tbl>
      <w:tblPr>
        <w:tblStyle w:val="a"/>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890"/>
        <w:gridCol w:w="920"/>
        <w:gridCol w:w="1960"/>
      </w:tblGrid>
      <w:tr w:rsidR="00415DC4" w14:paraId="5B65D520" w14:textId="77777777" w:rsidTr="00D51B49">
        <w:tc>
          <w:tcPr>
            <w:tcW w:w="3930" w:type="dxa"/>
            <w:shd w:val="clear" w:color="auto" w:fill="017F92"/>
            <w:tcMar>
              <w:top w:w="100" w:type="dxa"/>
              <w:left w:w="100" w:type="dxa"/>
              <w:bottom w:w="100" w:type="dxa"/>
              <w:right w:w="100" w:type="dxa"/>
            </w:tcMar>
          </w:tcPr>
          <w:p w14:paraId="6D5901E8" w14:textId="77777777" w:rsidR="00415DC4" w:rsidRPr="00D51B49" w:rsidRDefault="0006556A">
            <w:pPr>
              <w:pBdr>
                <w:top w:val="nil"/>
                <w:left w:val="nil"/>
                <w:bottom w:val="nil"/>
                <w:right w:val="nil"/>
                <w:between w:val="nil"/>
              </w:pBdr>
              <w:spacing w:after="0" w:line="240" w:lineRule="auto"/>
              <w:ind w:left="140"/>
              <w:rPr>
                <w:color w:val="FFFFFF"/>
                <w:lang w:val="es-ES"/>
              </w:rPr>
            </w:pPr>
            <w:r>
              <w:rPr>
                <w:b/>
                <w:bCs/>
                <w:color w:val="FFFFFF"/>
                <w:lang w:val="es-US"/>
              </w:rPr>
              <w:t>PARA OTRAS ACTIVIDADES DE NIVEL ESTATAL</w:t>
            </w:r>
          </w:p>
        </w:tc>
        <w:tc>
          <w:tcPr>
            <w:tcW w:w="3890" w:type="dxa"/>
            <w:shd w:val="clear" w:color="auto" w:fill="017F92"/>
            <w:tcMar>
              <w:top w:w="100" w:type="dxa"/>
              <w:left w:w="100" w:type="dxa"/>
              <w:bottom w:w="100" w:type="dxa"/>
              <w:right w:w="100" w:type="dxa"/>
            </w:tcMar>
          </w:tcPr>
          <w:p w14:paraId="0AAB0F21" w14:textId="77777777" w:rsidR="00415DC4" w:rsidRDefault="0006556A">
            <w:pPr>
              <w:pBdr>
                <w:top w:val="nil"/>
                <w:left w:val="nil"/>
                <w:bottom w:val="nil"/>
                <w:right w:val="nil"/>
                <w:between w:val="nil"/>
              </w:pBdr>
              <w:spacing w:after="0" w:line="240" w:lineRule="auto"/>
              <w:ind w:left="140"/>
              <w:rPr>
                <w:color w:val="FFFFFF"/>
              </w:rPr>
            </w:pPr>
            <w:r>
              <w:rPr>
                <w:b/>
                <w:bCs/>
                <w:color w:val="FFFFFF"/>
                <w:lang w:val="es-US"/>
              </w:rPr>
              <w:t>ACTIVIDADES Y DESCRIPCIONES</w:t>
            </w:r>
          </w:p>
        </w:tc>
        <w:tc>
          <w:tcPr>
            <w:tcW w:w="920" w:type="dxa"/>
            <w:shd w:val="clear" w:color="auto" w:fill="017F92"/>
            <w:tcMar>
              <w:top w:w="100" w:type="dxa"/>
              <w:left w:w="100" w:type="dxa"/>
              <w:bottom w:w="100" w:type="dxa"/>
              <w:right w:w="100" w:type="dxa"/>
            </w:tcMar>
          </w:tcPr>
          <w:p w14:paraId="5F70238D" w14:textId="77777777" w:rsidR="00415DC4" w:rsidRDefault="00415DC4">
            <w:pPr>
              <w:pBdr>
                <w:top w:val="nil"/>
                <w:left w:val="nil"/>
                <w:bottom w:val="nil"/>
                <w:right w:val="nil"/>
                <w:between w:val="nil"/>
              </w:pBdr>
              <w:spacing w:after="0" w:line="240" w:lineRule="auto"/>
              <w:ind w:left="140"/>
              <w:rPr>
                <w:color w:val="FFFFFF"/>
              </w:rPr>
            </w:pPr>
          </w:p>
        </w:tc>
        <w:tc>
          <w:tcPr>
            <w:tcW w:w="1960" w:type="dxa"/>
            <w:shd w:val="clear" w:color="auto" w:fill="017F92"/>
            <w:tcMar>
              <w:top w:w="100" w:type="dxa"/>
              <w:left w:w="100" w:type="dxa"/>
              <w:bottom w:w="100" w:type="dxa"/>
              <w:right w:w="100" w:type="dxa"/>
            </w:tcMar>
          </w:tcPr>
          <w:p w14:paraId="6C10CBC2" w14:textId="77777777" w:rsidR="00415DC4" w:rsidRDefault="0006556A">
            <w:pPr>
              <w:pBdr>
                <w:top w:val="nil"/>
                <w:left w:val="nil"/>
                <w:bottom w:val="nil"/>
                <w:right w:val="nil"/>
                <w:between w:val="nil"/>
              </w:pBdr>
              <w:spacing w:after="0" w:line="240" w:lineRule="auto"/>
              <w:ind w:left="140"/>
              <w:rPr>
                <w:color w:val="FFFFFF"/>
              </w:rPr>
            </w:pPr>
            <w:r>
              <w:rPr>
                <w:b/>
                <w:bCs/>
                <w:color w:val="FFFFFF"/>
                <w:lang w:val="es-US"/>
              </w:rPr>
              <w:t>CANTIDADES EN DÓLARES</w:t>
            </w:r>
            <w:r>
              <w:rPr>
                <w:color w:val="FFFFFF"/>
                <w:lang w:val="es-US"/>
              </w:rPr>
              <w:t xml:space="preserve"> </w:t>
            </w:r>
          </w:p>
        </w:tc>
      </w:tr>
      <w:tr w:rsidR="00415DC4" w:rsidRPr="00D51B49" w14:paraId="7BE121B7" w14:textId="77777777" w:rsidTr="00D51B49">
        <w:tc>
          <w:tcPr>
            <w:tcW w:w="3930" w:type="dxa"/>
            <w:tcBorders>
              <w:bottom w:val="single" w:sz="6" w:space="0" w:color="000000"/>
            </w:tcBorders>
            <w:tcMar>
              <w:top w:w="100" w:type="dxa"/>
              <w:left w:w="100" w:type="dxa"/>
              <w:bottom w:w="100" w:type="dxa"/>
              <w:right w:w="100" w:type="dxa"/>
            </w:tcMar>
          </w:tcPr>
          <w:p w14:paraId="6CAE0C02" w14:textId="77777777" w:rsidR="00415DC4" w:rsidRPr="00D51B49" w:rsidRDefault="0006556A">
            <w:pPr>
              <w:widowControl w:val="0"/>
              <w:spacing w:after="0" w:line="240" w:lineRule="auto"/>
              <w:rPr>
                <w:color w:val="4D4D4F"/>
                <w:lang w:val="es-ES"/>
              </w:rPr>
            </w:pPr>
            <w:r>
              <w:rPr>
                <w:color w:val="4D4D4F"/>
                <w:lang w:val="es-US"/>
              </w:rPr>
              <w:t>Actividades requeridas.</w:t>
            </w:r>
          </w:p>
          <w:p w14:paraId="6C0F8B54" w14:textId="77777777" w:rsidR="00415DC4" w:rsidRPr="00D51B49" w:rsidRDefault="0006556A">
            <w:pPr>
              <w:widowControl w:val="0"/>
              <w:spacing w:after="0" w:line="240" w:lineRule="auto"/>
              <w:rPr>
                <w:color w:val="4D4D4F"/>
                <w:lang w:val="es-ES"/>
              </w:rPr>
            </w:pPr>
            <w:r>
              <w:rPr>
                <w:color w:val="4D4D4F"/>
                <w:lang w:val="es-US"/>
              </w:rPr>
              <w:t>Los fondos reservados en virtud de 20 U.S.C.</w:t>
            </w:r>
          </w:p>
          <w:p w14:paraId="2B611738" w14:textId="77777777" w:rsidR="00415DC4" w:rsidRPr="00D51B49" w:rsidRDefault="0006556A">
            <w:pPr>
              <w:widowControl w:val="0"/>
              <w:spacing w:after="0" w:line="240" w:lineRule="auto"/>
              <w:rPr>
                <w:color w:val="4D4D4F"/>
                <w:lang w:val="es-ES"/>
              </w:rPr>
            </w:pPr>
            <w:r>
              <w:rPr>
                <w:color w:val="4D4D4F"/>
                <w:lang w:val="es-US"/>
              </w:rPr>
              <w:t>1411(e)(2)(A);34 CFR§300.704 se utilizarán</w:t>
            </w:r>
          </w:p>
          <w:p w14:paraId="46C48301" w14:textId="77777777" w:rsidR="00415DC4" w:rsidRPr="00D51B49" w:rsidRDefault="0006556A">
            <w:pPr>
              <w:widowControl w:val="0"/>
              <w:spacing w:after="0" w:line="240" w:lineRule="auto"/>
              <w:rPr>
                <w:rFonts w:ascii="Calibri" w:eastAsia="Calibri" w:hAnsi="Calibri" w:cs="Calibri"/>
                <w:color w:val="000000"/>
                <w:lang w:val="es-ES"/>
              </w:rPr>
            </w:pPr>
            <w:r>
              <w:rPr>
                <w:color w:val="4D4D4F"/>
                <w:lang w:val="es-US"/>
              </w:rPr>
              <w:t>para llevar a cabo las siguientes actividades:</w:t>
            </w:r>
          </w:p>
        </w:tc>
        <w:tc>
          <w:tcPr>
            <w:tcW w:w="3890" w:type="dxa"/>
            <w:tcBorders>
              <w:bottom w:val="single" w:sz="6" w:space="0" w:color="000000"/>
            </w:tcBorders>
            <w:shd w:val="clear" w:color="auto" w:fill="CCCCCC"/>
            <w:tcMar>
              <w:top w:w="100" w:type="dxa"/>
              <w:left w:w="100" w:type="dxa"/>
              <w:bottom w:w="100" w:type="dxa"/>
              <w:right w:w="100" w:type="dxa"/>
            </w:tcMar>
          </w:tcPr>
          <w:p w14:paraId="7BE29806" w14:textId="77777777" w:rsidR="00415DC4" w:rsidRPr="00D51B49" w:rsidRDefault="00415DC4">
            <w:pPr>
              <w:widowControl w:val="0"/>
              <w:spacing w:after="0" w:line="240" w:lineRule="auto"/>
              <w:rPr>
                <w:rFonts w:ascii="Calibri" w:eastAsia="Calibri" w:hAnsi="Calibri" w:cs="Calibri"/>
                <w:color w:val="000000"/>
                <w:lang w:val="es-ES"/>
              </w:rPr>
            </w:pPr>
          </w:p>
        </w:tc>
        <w:tc>
          <w:tcPr>
            <w:tcW w:w="920" w:type="dxa"/>
            <w:tcBorders>
              <w:bottom w:val="single" w:sz="6" w:space="0" w:color="000000"/>
            </w:tcBorders>
            <w:shd w:val="clear" w:color="auto" w:fill="CCCCCC"/>
            <w:tcMar>
              <w:top w:w="100" w:type="dxa"/>
              <w:left w:w="100" w:type="dxa"/>
              <w:bottom w:w="100" w:type="dxa"/>
              <w:right w:w="100" w:type="dxa"/>
            </w:tcMar>
          </w:tcPr>
          <w:p w14:paraId="3EEF1624" w14:textId="77777777" w:rsidR="00415DC4" w:rsidRPr="00D51B49" w:rsidRDefault="00415DC4">
            <w:pPr>
              <w:widowControl w:val="0"/>
              <w:spacing w:after="0" w:line="240" w:lineRule="auto"/>
              <w:rPr>
                <w:rFonts w:ascii="Calibri" w:eastAsia="Calibri" w:hAnsi="Calibri" w:cs="Calibri"/>
                <w:color w:val="000000"/>
                <w:lang w:val="es-ES"/>
              </w:rPr>
            </w:pPr>
          </w:p>
        </w:tc>
        <w:tc>
          <w:tcPr>
            <w:tcW w:w="1960" w:type="dxa"/>
            <w:tcBorders>
              <w:bottom w:val="single" w:sz="6" w:space="0" w:color="000000"/>
            </w:tcBorders>
            <w:shd w:val="clear" w:color="auto" w:fill="CCCCCC"/>
            <w:tcMar>
              <w:top w:w="100" w:type="dxa"/>
              <w:left w:w="100" w:type="dxa"/>
              <w:bottom w:w="100" w:type="dxa"/>
              <w:right w:w="100" w:type="dxa"/>
            </w:tcMar>
          </w:tcPr>
          <w:p w14:paraId="75313592" w14:textId="77777777" w:rsidR="00415DC4" w:rsidRPr="00D51B49" w:rsidRDefault="00415DC4">
            <w:pPr>
              <w:widowControl w:val="0"/>
              <w:spacing w:after="0" w:line="240" w:lineRule="auto"/>
              <w:jc w:val="right"/>
              <w:rPr>
                <w:rFonts w:ascii="Calibri" w:eastAsia="Calibri" w:hAnsi="Calibri" w:cs="Calibri"/>
                <w:color w:val="000000"/>
                <w:lang w:val="es-ES"/>
              </w:rPr>
            </w:pPr>
          </w:p>
        </w:tc>
      </w:tr>
      <w:tr w:rsidR="00415DC4" w14:paraId="44F1A703" w14:textId="77777777" w:rsidTr="00D51B49">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D7571B"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Supervisión, cumplimiento e investigación de quejas.</w:t>
            </w:r>
          </w:p>
        </w:tc>
        <w:tc>
          <w:tcPr>
            <w:tcW w:w="38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355066" w14:textId="77777777" w:rsidR="00415DC4" w:rsidRDefault="0006556A" w:rsidP="00D51B49">
            <w:pPr>
              <w:widowControl w:val="0"/>
              <w:numPr>
                <w:ilvl w:val="0"/>
                <w:numId w:val="8"/>
              </w:numPr>
              <w:pBdr>
                <w:top w:val="nil"/>
                <w:left w:val="nil"/>
                <w:bottom w:val="nil"/>
                <w:right w:val="nil"/>
                <w:between w:val="nil"/>
              </w:pBdr>
              <w:spacing w:after="0" w:line="240" w:lineRule="auto"/>
              <w:ind w:left="436"/>
              <w:rPr>
                <w:color w:val="4D4D4F"/>
              </w:rPr>
            </w:pPr>
            <w:r>
              <w:rPr>
                <w:color w:val="4D4D4F"/>
                <w:lang w:val="es-US"/>
              </w:rPr>
              <w:t>Supervisión a nivel estatal.</w:t>
            </w:r>
          </w:p>
          <w:p w14:paraId="2E5A0544" w14:textId="77777777" w:rsidR="00415DC4" w:rsidRDefault="0006556A" w:rsidP="00D51B49">
            <w:pPr>
              <w:widowControl w:val="0"/>
              <w:numPr>
                <w:ilvl w:val="0"/>
                <w:numId w:val="8"/>
              </w:numPr>
              <w:pBdr>
                <w:top w:val="nil"/>
                <w:left w:val="nil"/>
                <w:bottom w:val="nil"/>
                <w:right w:val="nil"/>
                <w:between w:val="nil"/>
              </w:pBdr>
              <w:spacing w:after="0" w:line="240" w:lineRule="auto"/>
              <w:ind w:left="436"/>
              <w:rPr>
                <w:color w:val="4D4D4F"/>
              </w:rPr>
            </w:pPr>
            <w:r>
              <w:rPr>
                <w:color w:val="4D4D4F"/>
                <w:lang w:val="es-US"/>
              </w:rPr>
              <w:t>Investigación de quejas.</w:t>
            </w:r>
          </w:p>
          <w:p w14:paraId="4E88BB9F" w14:textId="77777777" w:rsidR="00415DC4" w:rsidRDefault="0006556A" w:rsidP="00D51B49">
            <w:pPr>
              <w:widowControl w:val="0"/>
              <w:numPr>
                <w:ilvl w:val="0"/>
                <w:numId w:val="8"/>
              </w:numPr>
              <w:pBdr>
                <w:top w:val="nil"/>
                <w:left w:val="nil"/>
                <w:bottom w:val="nil"/>
                <w:right w:val="nil"/>
                <w:between w:val="nil"/>
              </w:pBdr>
              <w:spacing w:after="0" w:line="240" w:lineRule="auto"/>
              <w:ind w:left="436"/>
              <w:rPr>
                <w:color w:val="4D4D4F"/>
              </w:rPr>
            </w:pPr>
            <w:r>
              <w:rPr>
                <w:color w:val="4D4D4F"/>
                <w:lang w:val="es-US"/>
              </w:rPr>
              <w:t>Supervisor de Educación Especial.</w:t>
            </w:r>
          </w:p>
        </w:tc>
        <w:tc>
          <w:tcPr>
            <w:tcW w:w="9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92AC42"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h.</w:t>
            </w:r>
          </w:p>
        </w:tc>
        <w:tc>
          <w:tcPr>
            <w:tcW w:w="1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E75697"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$793,168</w:t>
            </w:r>
          </w:p>
        </w:tc>
      </w:tr>
      <w:tr w:rsidR="00415DC4" w14:paraId="22D78D2E" w14:textId="77777777" w:rsidTr="00D51B49">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A0F4DC"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Establecer e implementar el proceso de mediación requerido por 20 U.S.C.1415I;34 CFR§300.704, incluida la provisión del costo de los mediadores y el personal de apoyo.</w:t>
            </w:r>
          </w:p>
        </w:tc>
        <w:tc>
          <w:tcPr>
            <w:tcW w:w="38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ADE5C70" w14:textId="77777777" w:rsidR="00415DC4" w:rsidRDefault="0006556A" w:rsidP="00D51B49">
            <w:pPr>
              <w:widowControl w:val="0"/>
              <w:numPr>
                <w:ilvl w:val="0"/>
                <w:numId w:val="3"/>
              </w:numPr>
              <w:pBdr>
                <w:top w:val="nil"/>
                <w:left w:val="nil"/>
                <w:bottom w:val="nil"/>
                <w:right w:val="nil"/>
                <w:between w:val="nil"/>
              </w:pBdr>
              <w:spacing w:after="0" w:line="240" w:lineRule="auto"/>
              <w:ind w:left="436"/>
              <w:rPr>
                <w:color w:val="4D4D4F"/>
              </w:rPr>
            </w:pPr>
            <w:r>
              <w:rPr>
                <w:color w:val="4D4D4F"/>
                <w:lang w:val="es-US"/>
              </w:rPr>
              <w:t>Mediadores estatales.</w:t>
            </w:r>
          </w:p>
          <w:p w14:paraId="0F8CF73A" w14:textId="77777777" w:rsidR="00415DC4" w:rsidRPr="00D51B49" w:rsidRDefault="0006556A" w:rsidP="00D51B49">
            <w:pPr>
              <w:widowControl w:val="0"/>
              <w:numPr>
                <w:ilvl w:val="0"/>
                <w:numId w:val="3"/>
              </w:numPr>
              <w:pBdr>
                <w:top w:val="nil"/>
                <w:left w:val="nil"/>
                <w:bottom w:val="nil"/>
                <w:right w:val="nil"/>
                <w:between w:val="nil"/>
              </w:pBdr>
              <w:spacing w:after="0" w:line="240" w:lineRule="auto"/>
              <w:ind w:left="436"/>
              <w:rPr>
                <w:color w:val="4D4D4F"/>
                <w:lang w:val="es-ES"/>
              </w:rPr>
            </w:pPr>
            <w:r>
              <w:rPr>
                <w:color w:val="4D4D4F"/>
                <w:lang w:val="es-US"/>
              </w:rPr>
              <w:t>Facilitadores del Plan Educativo Individualizado (IEP).</w:t>
            </w:r>
          </w:p>
        </w:tc>
        <w:tc>
          <w:tcPr>
            <w:tcW w:w="9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F52AF0"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i.</w:t>
            </w:r>
          </w:p>
        </w:tc>
        <w:tc>
          <w:tcPr>
            <w:tcW w:w="1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7CFBE0"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$350,000</w:t>
            </w:r>
          </w:p>
        </w:tc>
      </w:tr>
      <w:tr w:rsidR="00415DC4" w:rsidRPr="00D51B49" w14:paraId="0716A435" w14:textId="77777777" w:rsidTr="00D51B49">
        <w:trPr>
          <w:trHeight w:val="1290"/>
        </w:trPr>
        <w:tc>
          <w:tcPr>
            <w:tcW w:w="3930" w:type="dxa"/>
            <w:tcBorders>
              <w:top w:val="single" w:sz="6" w:space="0" w:color="000000"/>
            </w:tcBorders>
            <w:tcMar>
              <w:top w:w="100" w:type="dxa"/>
              <w:left w:w="100" w:type="dxa"/>
              <w:bottom w:w="100" w:type="dxa"/>
              <w:right w:w="100" w:type="dxa"/>
            </w:tcMar>
          </w:tcPr>
          <w:p w14:paraId="424FD828"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Actividades autorizadas. Los fondos reservados en virtud de 20 U.S.C. 1411(e)(2)(A);34 CFR§300.704 pueden utilizarse para llevar a cabo las siguientes actividades:</w:t>
            </w:r>
          </w:p>
        </w:tc>
        <w:tc>
          <w:tcPr>
            <w:tcW w:w="3890" w:type="dxa"/>
            <w:tcBorders>
              <w:top w:val="single" w:sz="6" w:space="0" w:color="000000"/>
            </w:tcBorders>
            <w:shd w:val="clear" w:color="auto" w:fill="CCCCCC"/>
            <w:tcMar>
              <w:top w:w="100" w:type="dxa"/>
              <w:left w:w="100" w:type="dxa"/>
              <w:bottom w:w="100" w:type="dxa"/>
              <w:right w:w="100" w:type="dxa"/>
            </w:tcMar>
          </w:tcPr>
          <w:p w14:paraId="0C244416" w14:textId="77777777" w:rsidR="00415DC4" w:rsidRPr="00D51B49" w:rsidRDefault="00415DC4">
            <w:pPr>
              <w:widowControl w:val="0"/>
              <w:pBdr>
                <w:top w:val="nil"/>
                <w:left w:val="nil"/>
                <w:bottom w:val="nil"/>
                <w:right w:val="nil"/>
                <w:between w:val="nil"/>
              </w:pBdr>
              <w:spacing w:after="0" w:line="240" w:lineRule="auto"/>
              <w:rPr>
                <w:color w:val="4D4D4F"/>
                <w:lang w:val="es-ES"/>
              </w:rPr>
            </w:pPr>
          </w:p>
        </w:tc>
        <w:tc>
          <w:tcPr>
            <w:tcW w:w="920" w:type="dxa"/>
            <w:tcBorders>
              <w:top w:val="single" w:sz="6" w:space="0" w:color="000000"/>
            </w:tcBorders>
            <w:shd w:val="clear" w:color="auto" w:fill="CCCCCC"/>
            <w:tcMar>
              <w:top w:w="100" w:type="dxa"/>
              <w:left w:w="100" w:type="dxa"/>
              <w:bottom w:w="100" w:type="dxa"/>
              <w:right w:w="100" w:type="dxa"/>
            </w:tcMar>
          </w:tcPr>
          <w:p w14:paraId="6654B364" w14:textId="77777777" w:rsidR="00415DC4" w:rsidRPr="00D51B49" w:rsidRDefault="00415DC4">
            <w:pPr>
              <w:widowControl w:val="0"/>
              <w:pBdr>
                <w:top w:val="nil"/>
                <w:left w:val="nil"/>
                <w:bottom w:val="nil"/>
                <w:right w:val="nil"/>
                <w:between w:val="nil"/>
              </w:pBdr>
              <w:spacing w:after="0" w:line="240" w:lineRule="auto"/>
              <w:rPr>
                <w:color w:val="4D4D4F"/>
                <w:lang w:val="es-ES"/>
              </w:rPr>
            </w:pPr>
          </w:p>
        </w:tc>
        <w:tc>
          <w:tcPr>
            <w:tcW w:w="1960" w:type="dxa"/>
            <w:tcBorders>
              <w:top w:val="single" w:sz="6" w:space="0" w:color="000000"/>
            </w:tcBorders>
            <w:shd w:val="clear" w:color="auto" w:fill="CCCCCC"/>
            <w:tcMar>
              <w:top w:w="100" w:type="dxa"/>
              <w:left w:w="100" w:type="dxa"/>
              <w:bottom w:w="100" w:type="dxa"/>
              <w:right w:w="100" w:type="dxa"/>
            </w:tcMar>
          </w:tcPr>
          <w:p w14:paraId="5A72F465" w14:textId="77777777" w:rsidR="00415DC4" w:rsidRPr="00D51B49" w:rsidRDefault="00415DC4">
            <w:pPr>
              <w:widowControl w:val="0"/>
              <w:pBdr>
                <w:top w:val="nil"/>
                <w:left w:val="nil"/>
                <w:bottom w:val="nil"/>
                <w:right w:val="nil"/>
                <w:between w:val="nil"/>
              </w:pBdr>
              <w:spacing w:after="0" w:line="240" w:lineRule="auto"/>
              <w:rPr>
                <w:color w:val="4D4D4F"/>
                <w:lang w:val="es-ES"/>
              </w:rPr>
            </w:pPr>
          </w:p>
        </w:tc>
      </w:tr>
      <w:tr w:rsidR="00415DC4" w14:paraId="0009D1DB" w14:textId="77777777" w:rsidTr="00D51B49">
        <w:tc>
          <w:tcPr>
            <w:tcW w:w="3930" w:type="dxa"/>
            <w:tcMar>
              <w:top w:w="100" w:type="dxa"/>
              <w:left w:w="100" w:type="dxa"/>
              <w:bottom w:w="100" w:type="dxa"/>
              <w:right w:w="100" w:type="dxa"/>
            </w:tcMar>
          </w:tcPr>
          <w:p w14:paraId="0AA62CBF"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lastRenderedPageBreak/>
              <w:t>Apoyo y servicios directos, incluida asistencia técnica, preparación de personal y desarrollo y capacitación profesional.</w:t>
            </w:r>
          </w:p>
        </w:tc>
        <w:tc>
          <w:tcPr>
            <w:tcW w:w="3890" w:type="dxa"/>
            <w:tcMar>
              <w:top w:w="100" w:type="dxa"/>
              <w:left w:w="100" w:type="dxa"/>
              <w:bottom w:w="100" w:type="dxa"/>
              <w:right w:w="100" w:type="dxa"/>
            </w:tcMar>
          </w:tcPr>
          <w:p w14:paraId="240F444D"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 xml:space="preserve"> Formación de líderes docentes y creación de oportunidades de capacitación centradas en la educación especial para los educadores actuales.</w:t>
            </w:r>
          </w:p>
          <w:p w14:paraId="78BBF830" w14:textId="77777777" w:rsidR="00415DC4" w:rsidRDefault="0006556A">
            <w:pPr>
              <w:widowControl w:val="0"/>
              <w:numPr>
                <w:ilvl w:val="0"/>
                <w:numId w:val="13"/>
              </w:numPr>
              <w:pBdr>
                <w:top w:val="nil"/>
                <w:left w:val="nil"/>
                <w:bottom w:val="nil"/>
                <w:right w:val="nil"/>
                <w:between w:val="nil"/>
              </w:pBdr>
              <w:spacing w:after="0" w:line="240" w:lineRule="auto"/>
              <w:rPr>
                <w:color w:val="4D4D4F"/>
              </w:rPr>
            </w:pPr>
            <w:r>
              <w:rPr>
                <w:color w:val="4D4D4F"/>
                <w:lang w:val="es-US"/>
              </w:rPr>
              <w:t>Servicios de interpretación.</w:t>
            </w:r>
          </w:p>
          <w:p w14:paraId="5E2D4ECF"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 xml:space="preserve">Asistencia técnica regional para apoyar a las familias de estudiantes con discapacidades. </w:t>
            </w:r>
          </w:p>
          <w:p w14:paraId="0B354154"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Apoyo por Internet a las familias de estudiantes con discapacidades.</w:t>
            </w:r>
          </w:p>
          <w:p w14:paraId="1517FD19"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Herramientas y recursos para que las familias y los miembros de la comunidad entiendan los componentes críticos de la educación especial, como encuestas a los padres y las madres.</w:t>
            </w:r>
          </w:p>
          <w:p w14:paraId="545569CB"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Creación de asociaciones de asistencia técnica y desarrollo profesional para apoyar la instrucción especializada y los servicios relacionados para los estudiantes con discapacidades.</w:t>
            </w:r>
          </w:p>
          <w:p w14:paraId="6BC8760C"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Observaciones y comentarios mediante CLASS desde el jardín de infantes hasta el segundo grado (K-2) para respaldar servicios de alta calidad.</w:t>
            </w:r>
          </w:p>
          <w:p w14:paraId="04659A62"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Desarrollo profesional para educadores especiales, evaluadores de estudiantes y prestadores de servicios relacionados.</w:t>
            </w:r>
          </w:p>
          <w:p w14:paraId="48E043FE"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Fomento de la capacidad de administradores, educadores y personal de apoyo a estudiantes con discapacidades en la Cumbre de Líderes Docentes (</w:t>
            </w:r>
            <w:proofErr w:type="spellStart"/>
            <w:r>
              <w:rPr>
                <w:color w:val="4D4D4F"/>
                <w:lang w:val="es-US"/>
              </w:rPr>
              <w:t>Teacher</w:t>
            </w:r>
            <w:proofErr w:type="spellEnd"/>
            <w:r>
              <w:rPr>
                <w:color w:val="4D4D4F"/>
                <w:lang w:val="es-US"/>
              </w:rPr>
              <w:t xml:space="preserve"> Leader Summit).</w:t>
            </w:r>
          </w:p>
          <w:p w14:paraId="5E9D4F6C" w14:textId="77777777" w:rsidR="00415DC4" w:rsidRPr="00D51B49" w:rsidRDefault="0006556A">
            <w:pPr>
              <w:widowControl w:val="0"/>
              <w:numPr>
                <w:ilvl w:val="0"/>
                <w:numId w:val="13"/>
              </w:numPr>
              <w:pBdr>
                <w:top w:val="nil"/>
                <w:left w:val="nil"/>
                <w:bottom w:val="nil"/>
                <w:right w:val="nil"/>
                <w:between w:val="nil"/>
              </w:pBdr>
              <w:spacing w:after="0" w:line="240" w:lineRule="auto"/>
              <w:rPr>
                <w:color w:val="4D4D4F"/>
                <w:lang w:val="es-ES"/>
              </w:rPr>
            </w:pPr>
            <w:r>
              <w:rPr>
                <w:color w:val="4D4D4F"/>
                <w:lang w:val="es-US"/>
              </w:rPr>
              <w:t>Apoyo a los administradores y educadores con experiencias inclusivas en la escuela secundaria y de educación vocacional y técnica (CTE).</w:t>
            </w:r>
          </w:p>
        </w:tc>
        <w:tc>
          <w:tcPr>
            <w:tcW w:w="920" w:type="dxa"/>
            <w:tcMar>
              <w:top w:w="100" w:type="dxa"/>
              <w:left w:w="100" w:type="dxa"/>
              <w:bottom w:w="100" w:type="dxa"/>
              <w:right w:w="100" w:type="dxa"/>
            </w:tcMar>
          </w:tcPr>
          <w:p w14:paraId="53FCCE81"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j.</w:t>
            </w:r>
          </w:p>
        </w:tc>
        <w:tc>
          <w:tcPr>
            <w:tcW w:w="1960" w:type="dxa"/>
            <w:shd w:val="clear" w:color="auto" w:fill="auto"/>
            <w:tcMar>
              <w:top w:w="100" w:type="dxa"/>
              <w:left w:w="100" w:type="dxa"/>
              <w:bottom w:w="100" w:type="dxa"/>
              <w:right w:w="100" w:type="dxa"/>
            </w:tcMar>
          </w:tcPr>
          <w:p w14:paraId="248B16C3"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$1,910,258</w:t>
            </w:r>
          </w:p>
          <w:p w14:paraId="06F4FFE6"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4D88412B" w14:textId="77777777" w:rsidTr="00D51B49">
        <w:tc>
          <w:tcPr>
            <w:tcW w:w="3930" w:type="dxa"/>
            <w:tcMar>
              <w:top w:w="100" w:type="dxa"/>
              <w:left w:w="100" w:type="dxa"/>
              <w:bottom w:w="100" w:type="dxa"/>
              <w:right w:w="100" w:type="dxa"/>
            </w:tcMar>
          </w:tcPr>
          <w:p w14:paraId="13C473FC"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 xml:space="preserve">Ayuda para que las agencias educativas locales brinden intervenciones y apoyos conductuales positivos y servicios de </w:t>
            </w:r>
            <w:r>
              <w:rPr>
                <w:color w:val="4D4D4F"/>
                <w:lang w:val="es-US"/>
              </w:rPr>
              <w:lastRenderedPageBreak/>
              <w:t>salud mental adecuados para niños/as con discapacidades.</w:t>
            </w:r>
          </w:p>
        </w:tc>
        <w:tc>
          <w:tcPr>
            <w:tcW w:w="3890" w:type="dxa"/>
            <w:tcMar>
              <w:top w:w="100" w:type="dxa"/>
              <w:left w:w="100" w:type="dxa"/>
              <w:bottom w:w="100" w:type="dxa"/>
              <w:right w:w="100" w:type="dxa"/>
            </w:tcMar>
          </w:tcPr>
          <w:p w14:paraId="72A25194" w14:textId="77777777" w:rsidR="00415DC4" w:rsidRPr="00D51B49" w:rsidRDefault="0006556A">
            <w:pPr>
              <w:widowControl w:val="0"/>
              <w:numPr>
                <w:ilvl w:val="0"/>
                <w:numId w:val="4"/>
              </w:numPr>
              <w:pBdr>
                <w:top w:val="nil"/>
                <w:left w:val="nil"/>
                <w:bottom w:val="nil"/>
                <w:right w:val="nil"/>
                <w:between w:val="nil"/>
              </w:pBdr>
              <w:spacing w:after="0" w:line="240" w:lineRule="auto"/>
              <w:rPr>
                <w:color w:val="4D4D4F"/>
                <w:lang w:val="es-ES"/>
              </w:rPr>
            </w:pPr>
            <w:r>
              <w:rPr>
                <w:color w:val="4D4D4F"/>
                <w:lang w:val="es-US"/>
              </w:rPr>
              <w:lastRenderedPageBreak/>
              <w:t xml:space="preserve">Implementación de intervenciones, apoyos y estrategias conductuales </w:t>
            </w:r>
            <w:r>
              <w:rPr>
                <w:color w:val="4D4D4F"/>
                <w:lang w:val="es-US"/>
              </w:rPr>
              <w:lastRenderedPageBreak/>
              <w:t>basados en pruebas.</w:t>
            </w:r>
          </w:p>
          <w:p w14:paraId="582089C1" w14:textId="77777777" w:rsidR="00415DC4" w:rsidRPr="00D51B49" w:rsidRDefault="0006556A">
            <w:pPr>
              <w:widowControl w:val="0"/>
              <w:numPr>
                <w:ilvl w:val="0"/>
                <w:numId w:val="4"/>
              </w:numPr>
              <w:pBdr>
                <w:top w:val="nil"/>
                <w:left w:val="nil"/>
                <w:bottom w:val="nil"/>
                <w:right w:val="nil"/>
                <w:between w:val="nil"/>
              </w:pBdr>
              <w:spacing w:after="0" w:line="240" w:lineRule="auto"/>
              <w:rPr>
                <w:color w:val="4D4D4F"/>
                <w:lang w:val="es-ES"/>
              </w:rPr>
            </w:pPr>
            <w:r>
              <w:rPr>
                <w:color w:val="4D4D4F"/>
                <w:lang w:val="es-US"/>
              </w:rPr>
              <w:t>Orientación y desarrollo profesional de los educadores para apoyar las necesidades de comportamiento/salud mental de los estudiantes.</w:t>
            </w:r>
          </w:p>
        </w:tc>
        <w:tc>
          <w:tcPr>
            <w:tcW w:w="920" w:type="dxa"/>
            <w:tcMar>
              <w:top w:w="100" w:type="dxa"/>
              <w:left w:w="100" w:type="dxa"/>
              <w:bottom w:w="100" w:type="dxa"/>
              <w:right w:w="100" w:type="dxa"/>
            </w:tcMar>
          </w:tcPr>
          <w:p w14:paraId="7351839B"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lastRenderedPageBreak/>
              <w:t>k.</w:t>
            </w:r>
          </w:p>
        </w:tc>
        <w:tc>
          <w:tcPr>
            <w:tcW w:w="1960" w:type="dxa"/>
            <w:tcMar>
              <w:top w:w="100" w:type="dxa"/>
              <w:left w:w="100" w:type="dxa"/>
              <w:bottom w:w="100" w:type="dxa"/>
              <w:right w:w="100" w:type="dxa"/>
            </w:tcMar>
          </w:tcPr>
          <w:p w14:paraId="1932D0FD"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$475,000</w:t>
            </w:r>
          </w:p>
        </w:tc>
      </w:tr>
      <w:tr w:rsidR="00415DC4" w14:paraId="39C816D9" w14:textId="77777777" w:rsidTr="00D51B49">
        <w:tc>
          <w:tcPr>
            <w:tcW w:w="3930" w:type="dxa"/>
            <w:tcMar>
              <w:top w:w="100" w:type="dxa"/>
              <w:left w:w="100" w:type="dxa"/>
              <w:bottom w:w="100" w:type="dxa"/>
              <w:right w:w="100" w:type="dxa"/>
            </w:tcMar>
          </w:tcPr>
          <w:p w14:paraId="7F38DE7E"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Ayuda para que las agencias educativas locales afronten la escasez de personal.</w:t>
            </w:r>
          </w:p>
        </w:tc>
        <w:tc>
          <w:tcPr>
            <w:tcW w:w="3890" w:type="dxa"/>
            <w:shd w:val="clear" w:color="auto" w:fill="auto"/>
            <w:tcMar>
              <w:top w:w="100" w:type="dxa"/>
              <w:left w:w="100" w:type="dxa"/>
              <w:bottom w:w="100" w:type="dxa"/>
              <w:right w:w="100" w:type="dxa"/>
            </w:tcMar>
          </w:tcPr>
          <w:p w14:paraId="43BC79BD" w14:textId="77777777" w:rsidR="00415DC4" w:rsidRPr="00D51B49" w:rsidRDefault="0006556A">
            <w:pPr>
              <w:widowControl w:val="0"/>
              <w:numPr>
                <w:ilvl w:val="0"/>
                <w:numId w:val="5"/>
              </w:numPr>
              <w:pBdr>
                <w:top w:val="nil"/>
                <w:left w:val="nil"/>
                <w:bottom w:val="nil"/>
                <w:right w:val="nil"/>
                <w:between w:val="nil"/>
              </w:pBdr>
              <w:spacing w:after="0" w:line="240" w:lineRule="auto"/>
              <w:rPr>
                <w:color w:val="4D4D4F"/>
                <w:lang w:val="es-ES"/>
              </w:rPr>
            </w:pPr>
            <w:r>
              <w:rPr>
                <w:color w:val="4D4D4F"/>
                <w:lang w:val="es-US"/>
              </w:rPr>
              <w:t>Identificación de maneras innovadoras de conectar a agencias educativas locales (LEA) con prestadores de servicios relacionados en zonas con escasez de personal.</w:t>
            </w:r>
          </w:p>
        </w:tc>
        <w:tc>
          <w:tcPr>
            <w:tcW w:w="920" w:type="dxa"/>
            <w:tcMar>
              <w:top w:w="100" w:type="dxa"/>
              <w:left w:w="100" w:type="dxa"/>
              <w:bottom w:w="100" w:type="dxa"/>
              <w:right w:w="100" w:type="dxa"/>
            </w:tcMar>
          </w:tcPr>
          <w:p w14:paraId="30972C24"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l.</w:t>
            </w:r>
          </w:p>
        </w:tc>
        <w:tc>
          <w:tcPr>
            <w:tcW w:w="1960" w:type="dxa"/>
            <w:shd w:val="clear" w:color="auto" w:fill="auto"/>
            <w:tcMar>
              <w:top w:w="100" w:type="dxa"/>
              <w:left w:w="100" w:type="dxa"/>
              <w:bottom w:w="100" w:type="dxa"/>
              <w:right w:w="100" w:type="dxa"/>
            </w:tcMar>
          </w:tcPr>
          <w:p w14:paraId="32852ACF"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$800,000</w:t>
            </w:r>
          </w:p>
        </w:tc>
      </w:tr>
      <w:tr w:rsidR="00415DC4" w14:paraId="77BE0D1A" w14:textId="77777777" w:rsidTr="00D51B49">
        <w:tc>
          <w:tcPr>
            <w:tcW w:w="3930" w:type="dxa"/>
            <w:tcMar>
              <w:top w:w="100" w:type="dxa"/>
              <w:left w:w="100" w:type="dxa"/>
              <w:bottom w:w="100" w:type="dxa"/>
              <w:right w:w="100" w:type="dxa"/>
            </w:tcMar>
          </w:tcPr>
          <w:p w14:paraId="4C215FE4"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Apoyo a las actividades de desarrollo de capacidades y mejora de la prestación de servicios por parte de las agencias educativas locales para mejorar los resultados de los niños/as con discapacidades.</w:t>
            </w:r>
          </w:p>
        </w:tc>
        <w:tc>
          <w:tcPr>
            <w:tcW w:w="3890" w:type="dxa"/>
            <w:tcMar>
              <w:top w:w="100" w:type="dxa"/>
              <w:left w:w="100" w:type="dxa"/>
              <w:bottom w:w="100" w:type="dxa"/>
              <w:right w:w="100" w:type="dxa"/>
            </w:tcMar>
          </w:tcPr>
          <w:p w14:paraId="37689E99" w14:textId="77777777" w:rsidR="00415DC4" w:rsidRPr="00D51B49" w:rsidRDefault="0006556A">
            <w:pPr>
              <w:widowControl w:val="0"/>
              <w:numPr>
                <w:ilvl w:val="0"/>
                <w:numId w:val="7"/>
              </w:numPr>
              <w:pBdr>
                <w:top w:val="nil"/>
                <w:left w:val="nil"/>
                <w:bottom w:val="nil"/>
                <w:right w:val="nil"/>
                <w:between w:val="nil"/>
              </w:pBdr>
              <w:spacing w:after="0" w:line="240" w:lineRule="auto"/>
              <w:rPr>
                <w:color w:val="4D4D4F"/>
                <w:lang w:val="es-ES"/>
              </w:rPr>
            </w:pPr>
            <w:r>
              <w:rPr>
                <w:color w:val="4D4D4F"/>
                <w:lang w:val="es-US"/>
              </w:rPr>
              <w:t>Apoyo regional y asistencia técnica a las LEA.</w:t>
            </w:r>
          </w:p>
          <w:p w14:paraId="43991538" w14:textId="77777777" w:rsidR="00415DC4" w:rsidRPr="00D51B49" w:rsidRDefault="0006556A">
            <w:pPr>
              <w:widowControl w:val="0"/>
              <w:numPr>
                <w:ilvl w:val="0"/>
                <w:numId w:val="7"/>
              </w:numPr>
              <w:pBdr>
                <w:top w:val="nil"/>
                <w:left w:val="nil"/>
                <w:bottom w:val="nil"/>
                <w:right w:val="nil"/>
                <w:between w:val="nil"/>
              </w:pBdr>
              <w:spacing w:after="0" w:line="240" w:lineRule="auto"/>
              <w:rPr>
                <w:color w:val="4D4D4F"/>
                <w:lang w:val="es-ES"/>
              </w:rPr>
            </w:pPr>
            <w:r>
              <w:rPr>
                <w:color w:val="4D4D4F"/>
                <w:lang w:val="es-US"/>
              </w:rPr>
              <w:t xml:space="preserve">Orientación y desarrollo profesional para apoyar a los docentes que respaldan a los estudiantes con autismo. </w:t>
            </w:r>
          </w:p>
          <w:p w14:paraId="62CFE3AD" w14:textId="77777777" w:rsidR="00415DC4" w:rsidRPr="00D51B49" w:rsidRDefault="0006556A">
            <w:pPr>
              <w:widowControl w:val="0"/>
              <w:numPr>
                <w:ilvl w:val="0"/>
                <w:numId w:val="7"/>
              </w:numPr>
              <w:pBdr>
                <w:top w:val="nil"/>
                <w:left w:val="nil"/>
                <w:bottom w:val="nil"/>
                <w:right w:val="nil"/>
                <w:between w:val="nil"/>
              </w:pBdr>
              <w:spacing w:after="0" w:line="240" w:lineRule="auto"/>
              <w:rPr>
                <w:color w:val="4D4D4F"/>
                <w:lang w:val="es-ES"/>
              </w:rPr>
            </w:pPr>
            <w:r>
              <w:rPr>
                <w:color w:val="4D4D4F"/>
                <w:lang w:val="es-US"/>
              </w:rPr>
              <w:t>Orientación y desarrollo profesional para apoyar a los docentes que respaldan a estudiantes con necesidades médicas complejas.</w:t>
            </w:r>
          </w:p>
          <w:p w14:paraId="5C5E57FC" w14:textId="77777777" w:rsidR="00415DC4" w:rsidRPr="00D51B49" w:rsidRDefault="0006556A">
            <w:pPr>
              <w:widowControl w:val="0"/>
              <w:numPr>
                <w:ilvl w:val="0"/>
                <w:numId w:val="7"/>
              </w:numPr>
              <w:pBdr>
                <w:top w:val="nil"/>
                <w:left w:val="nil"/>
                <w:bottom w:val="nil"/>
                <w:right w:val="nil"/>
                <w:between w:val="nil"/>
              </w:pBdr>
              <w:spacing w:after="0" w:line="240" w:lineRule="auto"/>
              <w:rPr>
                <w:color w:val="4D4D4F"/>
                <w:lang w:val="es-ES"/>
              </w:rPr>
            </w:pPr>
            <w:r>
              <w:rPr>
                <w:color w:val="4D4D4F"/>
                <w:lang w:val="es-US"/>
              </w:rPr>
              <w:t>Implementación de servicios para desarrollar la capacidad de los educadores de elaborar e implementar planes educativos individualizados y usar la información para apoyar la enseñanza en el aula; hacer informes sobre educación especial.</w:t>
            </w:r>
          </w:p>
          <w:p w14:paraId="2A624D38" w14:textId="77777777" w:rsidR="00415DC4" w:rsidRPr="00D51B49" w:rsidRDefault="0006556A">
            <w:pPr>
              <w:widowControl w:val="0"/>
              <w:numPr>
                <w:ilvl w:val="0"/>
                <w:numId w:val="7"/>
              </w:numPr>
              <w:pBdr>
                <w:top w:val="nil"/>
                <w:left w:val="nil"/>
                <w:bottom w:val="nil"/>
                <w:right w:val="nil"/>
                <w:between w:val="nil"/>
              </w:pBdr>
              <w:spacing w:after="0" w:line="240" w:lineRule="auto"/>
              <w:rPr>
                <w:color w:val="4D4D4F"/>
                <w:lang w:val="es-ES"/>
              </w:rPr>
            </w:pPr>
            <w:r>
              <w:rPr>
                <w:color w:val="4D4D4F"/>
                <w:lang w:val="es-US"/>
              </w:rPr>
              <w:t>Creación de asociaciones de desarrollo profesional y de asistencia técnica para apoyar el desarrollo de instrucción especializada, liderazgo en educación especial y servicios relacionados para los estudiantes con discapacidades.</w:t>
            </w:r>
          </w:p>
        </w:tc>
        <w:tc>
          <w:tcPr>
            <w:tcW w:w="920" w:type="dxa"/>
            <w:tcMar>
              <w:top w:w="100" w:type="dxa"/>
              <w:left w:w="100" w:type="dxa"/>
              <w:bottom w:w="100" w:type="dxa"/>
              <w:right w:w="100" w:type="dxa"/>
            </w:tcMar>
          </w:tcPr>
          <w:p w14:paraId="18391BB0"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m.</w:t>
            </w:r>
          </w:p>
        </w:tc>
        <w:tc>
          <w:tcPr>
            <w:tcW w:w="1960" w:type="dxa"/>
            <w:shd w:val="clear" w:color="auto" w:fill="auto"/>
            <w:tcMar>
              <w:top w:w="100" w:type="dxa"/>
              <w:left w:w="100" w:type="dxa"/>
              <w:bottom w:w="100" w:type="dxa"/>
              <w:right w:w="100" w:type="dxa"/>
            </w:tcMar>
          </w:tcPr>
          <w:p w14:paraId="61E7E735"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$4,536,912</w:t>
            </w:r>
          </w:p>
          <w:p w14:paraId="189DC5E8"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2889DFEF" w14:textId="77777777" w:rsidTr="00D51B49">
        <w:tc>
          <w:tcPr>
            <w:tcW w:w="3930" w:type="dxa"/>
            <w:tcMar>
              <w:top w:w="100" w:type="dxa"/>
              <w:left w:w="100" w:type="dxa"/>
              <w:bottom w:w="100" w:type="dxa"/>
              <w:right w:w="100" w:type="dxa"/>
            </w:tcMar>
          </w:tcPr>
          <w:p w14:paraId="510984A6"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Apoyo a actividades de reducción de trámites, incluida la ampliación del uso de tecnología en el proceso de IEP.</w:t>
            </w:r>
          </w:p>
        </w:tc>
        <w:tc>
          <w:tcPr>
            <w:tcW w:w="3890" w:type="dxa"/>
            <w:tcMar>
              <w:top w:w="100" w:type="dxa"/>
              <w:left w:w="100" w:type="dxa"/>
              <w:bottom w:w="100" w:type="dxa"/>
              <w:right w:w="100" w:type="dxa"/>
            </w:tcMar>
          </w:tcPr>
          <w:p w14:paraId="7532A4DA" w14:textId="77777777" w:rsidR="00415DC4" w:rsidRPr="00D51B49" w:rsidRDefault="00415DC4">
            <w:pPr>
              <w:widowControl w:val="0"/>
              <w:pBdr>
                <w:top w:val="nil"/>
                <w:left w:val="nil"/>
                <w:bottom w:val="nil"/>
                <w:right w:val="nil"/>
                <w:between w:val="nil"/>
              </w:pBdr>
              <w:spacing w:after="0" w:line="240" w:lineRule="auto"/>
              <w:rPr>
                <w:color w:val="4D4D4F"/>
                <w:lang w:val="es-ES"/>
              </w:rPr>
            </w:pPr>
          </w:p>
        </w:tc>
        <w:tc>
          <w:tcPr>
            <w:tcW w:w="920" w:type="dxa"/>
            <w:tcMar>
              <w:top w:w="100" w:type="dxa"/>
              <w:left w:w="100" w:type="dxa"/>
              <w:bottom w:w="100" w:type="dxa"/>
              <w:right w:w="100" w:type="dxa"/>
            </w:tcMar>
          </w:tcPr>
          <w:p w14:paraId="32EB2327"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n.</w:t>
            </w:r>
          </w:p>
        </w:tc>
        <w:tc>
          <w:tcPr>
            <w:tcW w:w="1960" w:type="dxa"/>
            <w:tcMar>
              <w:top w:w="100" w:type="dxa"/>
              <w:left w:w="100" w:type="dxa"/>
              <w:bottom w:w="100" w:type="dxa"/>
              <w:right w:w="100" w:type="dxa"/>
            </w:tcMar>
          </w:tcPr>
          <w:p w14:paraId="01B04EA3"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$0</w:t>
            </w:r>
          </w:p>
          <w:p w14:paraId="63C570EB"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692EC21F" w14:textId="77777777" w:rsidTr="00D51B49">
        <w:tc>
          <w:tcPr>
            <w:tcW w:w="3930" w:type="dxa"/>
            <w:tcMar>
              <w:top w:w="100" w:type="dxa"/>
              <w:left w:w="100" w:type="dxa"/>
              <w:bottom w:w="100" w:type="dxa"/>
              <w:right w:w="100" w:type="dxa"/>
            </w:tcMar>
          </w:tcPr>
          <w:p w14:paraId="4C60A845"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 xml:space="preserve">Mejora del uso de la tecnología en el aula por parte de los niños/as con discapacidades para potenciar el </w:t>
            </w:r>
            <w:r>
              <w:rPr>
                <w:color w:val="4D4D4F"/>
                <w:lang w:val="es-US"/>
              </w:rPr>
              <w:lastRenderedPageBreak/>
              <w:t>aprendizaje.</w:t>
            </w:r>
          </w:p>
        </w:tc>
        <w:tc>
          <w:tcPr>
            <w:tcW w:w="3890" w:type="dxa"/>
            <w:tcMar>
              <w:top w:w="100" w:type="dxa"/>
              <w:left w:w="100" w:type="dxa"/>
              <w:bottom w:w="100" w:type="dxa"/>
              <w:right w:w="100" w:type="dxa"/>
            </w:tcMar>
          </w:tcPr>
          <w:p w14:paraId="33242DBE" w14:textId="77777777" w:rsidR="00415DC4" w:rsidRPr="00D51B49" w:rsidRDefault="0006556A">
            <w:pPr>
              <w:widowControl w:val="0"/>
              <w:numPr>
                <w:ilvl w:val="0"/>
                <w:numId w:val="2"/>
              </w:numPr>
              <w:pBdr>
                <w:top w:val="nil"/>
                <w:left w:val="nil"/>
                <w:bottom w:val="nil"/>
                <w:right w:val="nil"/>
                <w:between w:val="nil"/>
              </w:pBdr>
              <w:spacing w:after="0" w:line="240" w:lineRule="auto"/>
              <w:rPr>
                <w:color w:val="4D4D4F"/>
                <w:lang w:val="es-ES"/>
              </w:rPr>
            </w:pPr>
            <w:r>
              <w:rPr>
                <w:color w:val="4D4D4F"/>
                <w:lang w:val="es-US"/>
              </w:rPr>
              <w:lastRenderedPageBreak/>
              <w:t xml:space="preserve">Capacitación y recursos sobre el uso de tecnología para apoyar las necesidades individuales de </w:t>
            </w:r>
            <w:r>
              <w:rPr>
                <w:color w:val="4D4D4F"/>
                <w:lang w:val="es-US"/>
              </w:rPr>
              <w:lastRenderedPageBreak/>
              <w:t>aprendizaje.</w:t>
            </w:r>
          </w:p>
          <w:p w14:paraId="0DFBA13A" w14:textId="77777777" w:rsidR="00415DC4" w:rsidRDefault="0006556A">
            <w:pPr>
              <w:widowControl w:val="0"/>
              <w:numPr>
                <w:ilvl w:val="0"/>
                <w:numId w:val="2"/>
              </w:numPr>
              <w:pBdr>
                <w:top w:val="nil"/>
                <w:left w:val="nil"/>
                <w:bottom w:val="nil"/>
                <w:right w:val="nil"/>
                <w:between w:val="nil"/>
              </w:pBdr>
              <w:spacing w:after="0" w:line="240" w:lineRule="auto"/>
              <w:rPr>
                <w:color w:val="4D4D4F"/>
              </w:rPr>
            </w:pPr>
            <w:r>
              <w:rPr>
                <w:color w:val="4D4D4F"/>
                <w:lang w:val="es-US"/>
              </w:rPr>
              <w:t>Material educativo accesible.</w:t>
            </w:r>
          </w:p>
        </w:tc>
        <w:tc>
          <w:tcPr>
            <w:tcW w:w="920" w:type="dxa"/>
            <w:tcMar>
              <w:top w:w="100" w:type="dxa"/>
              <w:left w:w="100" w:type="dxa"/>
              <w:bottom w:w="100" w:type="dxa"/>
              <w:right w:w="100" w:type="dxa"/>
            </w:tcMar>
          </w:tcPr>
          <w:p w14:paraId="0964E153"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lastRenderedPageBreak/>
              <w:t>o.</w:t>
            </w:r>
          </w:p>
        </w:tc>
        <w:tc>
          <w:tcPr>
            <w:tcW w:w="1960" w:type="dxa"/>
            <w:tcMar>
              <w:top w:w="100" w:type="dxa"/>
              <w:left w:w="100" w:type="dxa"/>
              <w:bottom w:w="100" w:type="dxa"/>
              <w:right w:w="100" w:type="dxa"/>
            </w:tcMar>
          </w:tcPr>
          <w:p w14:paraId="7E24E9EA"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$600,000</w:t>
            </w:r>
          </w:p>
        </w:tc>
      </w:tr>
      <w:tr w:rsidR="00415DC4" w14:paraId="3E582937" w14:textId="77777777" w:rsidTr="00D51B49">
        <w:tc>
          <w:tcPr>
            <w:tcW w:w="3930" w:type="dxa"/>
            <w:tcMar>
              <w:top w:w="100" w:type="dxa"/>
              <w:left w:w="100" w:type="dxa"/>
              <w:bottom w:w="100" w:type="dxa"/>
              <w:right w:w="100" w:type="dxa"/>
            </w:tcMar>
          </w:tcPr>
          <w:p w14:paraId="41DA12E0"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Apoyo para el uso de tecnología, incluida la tecnología con principios de diseño universal y dispositivos de tecnología de asistencia, para maximizar la accesibilidad al plan de estudios de educación general para niños/as con discapacidades.</w:t>
            </w:r>
          </w:p>
        </w:tc>
        <w:tc>
          <w:tcPr>
            <w:tcW w:w="3890" w:type="dxa"/>
            <w:tcMar>
              <w:top w:w="100" w:type="dxa"/>
              <w:left w:w="100" w:type="dxa"/>
              <w:bottom w:w="100" w:type="dxa"/>
              <w:right w:w="100" w:type="dxa"/>
            </w:tcMar>
          </w:tcPr>
          <w:p w14:paraId="6612FFA1" w14:textId="77777777" w:rsidR="00415DC4" w:rsidRPr="00D51B49" w:rsidRDefault="0006556A">
            <w:pPr>
              <w:widowControl w:val="0"/>
              <w:numPr>
                <w:ilvl w:val="0"/>
                <w:numId w:val="9"/>
              </w:numPr>
              <w:pBdr>
                <w:top w:val="nil"/>
                <w:left w:val="nil"/>
                <w:bottom w:val="nil"/>
                <w:right w:val="nil"/>
                <w:between w:val="nil"/>
              </w:pBdr>
              <w:spacing w:after="0" w:line="240" w:lineRule="auto"/>
              <w:rPr>
                <w:color w:val="4D4D4F"/>
                <w:lang w:val="es-ES"/>
              </w:rPr>
            </w:pPr>
            <w:r>
              <w:rPr>
                <w:color w:val="4D4D4F"/>
                <w:lang w:val="es-US"/>
              </w:rPr>
              <w:t>Capacitación y recursos sobre el uso de la tecnología para apoyar la enseñanza diferenciada en el aula.</w:t>
            </w:r>
          </w:p>
          <w:p w14:paraId="01E59EAE" w14:textId="77777777" w:rsidR="00415DC4" w:rsidRDefault="0006556A">
            <w:pPr>
              <w:widowControl w:val="0"/>
              <w:numPr>
                <w:ilvl w:val="0"/>
                <w:numId w:val="9"/>
              </w:numPr>
              <w:pBdr>
                <w:top w:val="nil"/>
                <w:left w:val="nil"/>
                <w:bottom w:val="nil"/>
                <w:right w:val="nil"/>
                <w:between w:val="nil"/>
              </w:pBdr>
              <w:spacing w:after="0" w:line="240" w:lineRule="auto"/>
              <w:rPr>
                <w:color w:val="4D4D4F"/>
              </w:rPr>
            </w:pPr>
            <w:r>
              <w:rPr>
                <w:color w:val="4D4D4F"/>
                <w:lang w:val="es-US"/>
              </w:rPr>
              <w:t>Material educativo accesible.</w:t>
            </w:r>
          </w:p>
          <w:p w14:paraId="61052EDC" w14:textId="77777777" w:rsidR="00415DC4" w:rsidRPr="00D51B49" w:rsidRDefault="0006556A">
            <w:pPr>
              <w:widowControl w:val="0"/>
              <w:numPr>
                <w:ilvl w:val="0"/>
                <w:numId w:val="9"/>
              </w:numPr>
              <w:pBdr>
                <w:top w:val="nil"/>
                <w:left w:val="nil"/>
                <w:bottom w:val="nil"/>
                <w:right w:val="nil"/>
                <w:between w:val="nil"/>
              </w:pBdr>
              <w:spacing w:after="0" w:line="240" w:lineRule="auto"/>
              <w:rPr>
                <w:color w:val="4D4D4F"/>
                <w:lang w:val="es-ES"/>
              </w:rPr>
            </w:pPr>
            <w:r>
              <w:rPr>
                <w:color w:val="4D4D4F"/>
                <w:lang w:val="es-US"/>
              </w:rPr>
              <w:t>Apoyo para la actualización de los criterios de elegibilidad de las discapacidades visuales.</w:t>
            </w:r>
          </w:p>
        </w:tc>
        <w:tc>
          <w:tcPr>
            <w:tcW w:w="920" w:type="dxa"/>
            <w:tcMar>
              <w:top w:w="100" w:type="dxa"/>
              <w:left w:w="100" w:type="dxa"/>
              <w:bottom w:w="100" w:type="dxa"/>
              <w:right w:w="100" w:type="dxa"/>
            </w:tcMar>
          </w:tcPr>
          <w:p w14:paraId="1EE389DD"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p.</w:t>
            </w:r>
          </w:p>
        </w:tc>
        <w:tc>
          <w:tcPr>
            <w:tcW w:w="1960" w:type="dxa"/>
            <w:tcMar>
              <w:top w:w="100" w:type="dxa"/>
              <w:left w:w="100" w:type="dxa"/>
              <w:bottom w:w="100" w:type="dxa"/>
              <w:right w:w="100" w:type="dxa"/>
            </w:tcMar>
          </w:tcPr>
          <w:p w14:paraId="1A2CA8E5"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$500,000</w:t>
            </w:r>
          </w:p>
        </w:tc>
      </w:tr>
      <w:tr w:rsidR="00415DC4" w14:paraId="11E65824" w14:textId="77777777" w:rsidTr="00D51B49">
        <w:tc>
          <w:tcPr>
            <w:tcW w:w="3930" w:type="dxa"/>
            <w:tcMar>
              <w:top w:w="100" w:type="dxa"/>
              <w:left w:w="100" w:type="dxa"/>
              <w:bottom w:w="100" w:type="dxa"/>
              <w:right w:w="100" w:type="dxa"/>
            </w:tcMar>
          </w:tcPr>
          <w:p w14:paraId="5731FC85"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Desarrollo e implementación de programas de transición, incluida la coordinación de servicios con agencias que trabajan para apoyar la transición de niños/as con discapacidades a actividades después de la secundaria.</w:t>
            </w:r>
          </w:p>
        </w:tc>
        <w:tc>
          <w:tcPr>
            <w:tcW w:w="3890" w:type="dxa"/>
            <w:tcMar>
              <w:top w:w="100" w:type="dxa"/>
              <w:left w:w="100" w:type="dxa"/>
              <w:bottom w:w="100" w:type="dxa"/>
              <w:right w:w="100" w:type="dxa"/>
            </w:tcMar>
          </w:tcPr>
          <w:p w14:paraId="33B1567B" w14:textId="77777777" w:rsidR="00415DC4" w:rsidRPr="00D51B49" w:rsidRDefault="0006556A">
            <w:pPr>
              <w:widowControl w:val="0"/>
              <w:numPr>
                <w:ilvl w:val="0"/>
                <w:numId w:val="11"/>
              </w:numPr>
              <w:pBdr>
                <w:top w:val="nil"/>
                <w:left w:val="nil"/>
                <w:bottom w:val="nil"/>
                <w:right w:val="nil"/>
                <w:between w:val="nil"/>
              </w:pBdr>
              <w:spacing w:after="0" w:line="240" w:lineRule="auto"/>
              <w:rPr>
                <w:color w:val="4D4D4F"/>
                <w:lang w:val="es-ES"/>
              </w:rPr>
            </w:pPr>
            <w:r>
              <w:rPr>
                <w:color w:val="4D4D4F"/>
                <w:lang w:val="es-US"/>
              </w:rPr>
              <w:t>Apoyo para el desarrollo del liderazgo y la preparación profesional en la transición de los estudiantes con discapacidades de la enseñanza intermedia a la secundaria.</w:t>
            </w:r>
          </w:p>
          <w:p w14:paraId="354F7032" w14:textId="77777777" w:rsidR="00415DC4" w:rsidRPr="00D51B49" w:rsidRDefault="0006556A">
            <w:pPr>
              <w:widowControl w:val="0"/>
              <w:numPr>
                <w:ilvl w:val="0"/>
                <w:numId w:val="11"/>
              </w:numPr>
              <w:pBdr>
                <w:top w:val="nil"/>
                <w:left w:val="nil"/>
                <w:bottom w:val="nil"/>
                <w:right w:val="nil"/>
                <w:between w:val="nil"/>
              </w:pBdr>
              <w:spacing w:after="0" w:line="240" w:lineRule="auto"/>
              <w:rPr>
                <w:color w:val="4D4D4F"/>
                <w:lang w:val="es-ES"/>
              </w:rPr>
            </w:pPr>
            <w:r>
              <w:rPr>
                <w:color w:val="4D4D4F"/>
                <w:lang w:val="es-US"/>
              </w:rPr>
              <w:t>Foro de Liderazgo Juvenil para estudiantes con discapacidades.</w:t>
            </w:r>
          </w:p>
          <w:p w14:paraId="438FFAE4" w14:textId="77777777" w:rsidR="00415DC4" w:rsidRPr="00D51B49" w:rsidRDefault="0006556A">
            <w:pPr>
              <w:widowControl w:val="0"/>
              <w:numPr>
                <w:ilvl w:val="0"/>
                <w:numId w:val="11"/>
              </w:numPr>
              <w:pBdr>
                <w:top w:val="nil"/>
                <w:left w:val="nil"/>
                <w:bottom w:val="nil"/>
                <w:right w:val="nil"/>
                <w:between w:val="nil"/>
              </w:pBdr>
              <w:spacing w:after="0" w:line="240" w:lineRule="auto"/>
              <w:rPr>
                <w:color w:val="4D4D4F"/>
                <w:lang w:val="es-ES"/>
              </w:rPr>
            </w:pPr>
            <w:r>
              <w:rPr>
                <w:color w:val="4D4D4F"/>
                <w:lang w:val="es-US"/>
              </w:rPr>
              <w:t>Herramientas y recursos en línea para que las familias y los miembros de la comunidad entiendan los componentes fundamentales de la educación especial.</w:t>
            </w:r>
          </w:p>
        </w:tc>
        <w:tc>
          <w:tcPr>
            <w:tcW w:w="920" w:type="dxa"/>
            <w:tcMar>
              <w:top w:w="100" w:type="dxa"/>
              <w:left w:w="100" w:type="dxa"/>
              <w:bottom w:w="100" w:type="dxa"/>
              <w:right w:w="100" w:type="dxa"/>
            </w:tcMar>
          </w:tcPr>
          <w:p w14:paraId="0598D6AC"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 xml:space="preserve">q. </w:t>
            </w:r>
          </w:p>
        </w:tc>
        <w:tc>
          <w:tcPr>
            <w:tcW w:w="1960" w:type="dxa"/>
            <w:tcMar>
              <w:top w:w="100" w:type="dxa"/>
              <w:left w:w="100" w:type="dxa"/>
              <w:bottom w:w="100" w:type="dxa"/>
              <w:right w:w="100" w:type="dxa"/>
            </w:tcMar>
          </w:tcPr>
          <w:p w14:paraId="53702FCB"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$1,843,308</w:t>
            </w:r>
          </w:p>
        </w:tc>
      </w:tr>
      <w:tr w:rsidR="00415DC4" w14:paraId="32388E6F" w14:textId="77777777" w:rsidTr="00D51B49">
        <w:tc>
          <w:tcPr>
            <w:tcW w:w="3930" w:type="dxa"/>
            <w:tcMar>
              <w:top w:w="100" w:type="dxa"/>
              <w:left w:w="100" w:type="dxa"/>
              <w:bottom w:w="100" w:type="dxa"/>
              <w:right w:w="100" w:type="dxa"/>
            </w:tcMar>
          </w:tcPr>
          <w:p w14:paraId="4CD004F1"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Programas alternativos para niños/as con discapacidades que han sido expulsados de la escuela, y servicios para niños/as con discapacidades en centros penitenciarios, niños/as matriculados en escuelas administradas o apoyadas por el Estado, y niños/as con discapacidades en escuelas chárter.</w:t>
            </w:r>
          </w:p>
        </w:tc>
        <w:tc>
          <w:tcPr>
            <w:tcW w:w="3890" w:type="dxa"/>
            <w:tcMar>
              <w:top w:w="100" w:type="dxa"/>
              <w:left w:w="100" w:type="dxa"/>
              <w:bottom w:w="100" w:type="dxa"/>
              <w:right w:w="100" w:type="dxa"/>
            </w:tcMar>
          </w:tcPr>
          <w:p w14:paraId="635A5D4D" w14:textId="77777777" w:rsidR="00415DC4" w:rsidRPr="00D51B49" w:rsidRDefault="0006556A">
            <w:pPr>
              <w:widowControl w:val="0"/>
              <w:numPr>
                <w:ilvl w:val="0"/>
                <w:numId w:val="10"/>
              </w:numPr>
              <w:pBdr>
                <w:top w:val="nil"/>
                <w:left w:val="nil"/>
                <w:bottom w:val="nil"/>
                <w:right w:val="nil"/>
                <w:between w:val="nil"/>
              </w:pBdr>
              <w:spacing w:after="0" w:line="240" w:lineRule="auto"/>
              <w:rPr>
                <w:color w:val="4D4D4F"/>
                <w:lang w:val="es-ES"/>
              </w:rPr>
            </w:pPr>
            <w:r>
              <w:rPr>
                <w:color w:val="4D4D4F"/>
                <w:lang w:val="es-US"/>
              </w:rPr>
              <w:t>Apoyo conductual para estudiantes de programas alternativos en escuelas públicas.</w:t>
            </w:r>
          </w:p>
        </w:tc>
        <w:tc>
          <w:tcPr>
            <w:tcW w:w="920" w:type="dxa"/>
            <w:tcMar>
              <w:top w:w="100" w:type="dxa"/>
              <w:left w:w="100" w:type="dxa"/>
              <w:bottom w:w="100" w:type="dxa"/>
              <w:right w:w="100" w:type="dxa"/>
            </w:tcMar>
          </w:tcPr>
          <w:p w14:paraId="1CBA4551"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r.</w:t>
            </w:r>
          </w:p>
        </w:tc>
        <w:tc>
          <w:tcPr>
            <w:tcW w:w="1960" w:type="dxa"/>
            <w:tcMar>
              <w:top w:w="100" w:type="dxa"/>
              <w:left w:w="100" w:type="dxa"/>
              <w:bottom w:w="100" w:type="dxa"/>
              <w:right w:w="100" w:type="dxa"/>
            </w:tcMar>
          </w:tcPr>
          <w:p w14:paraId="3101EEF2"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$80,000</w:t>
            </w:r>
          </w:p>
        </w:tc>
      </w:tr>
      <w:tr w:rsidR="00415DC4" w14:paraId="663344F6" w14:textId="77777777" w:rsidTr="00D51B49">
        <w:tc>
          <w:tcPr>
            <w:tcW w:w="3930" w:type="dxa"/>
            <w:tcMar>
              <w:top w:w="100" w:type="dxa"/>
              <w:left w:w="100" w:type="dxa"/>
              <w:bottom w:w="100" w:type="dxa"/>
              <w:right w:w="100" w:type="dxa"/>
            </w:tcMar>
          </w:tcPr>
          <w:p w14:paraId="3EBD0DF8"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Apoyo al desarrollo y la provisión de adaptaciones adecuadas para niños/as con discapacidades, o desarrollo y la provisión de evaluaciones alternativas que sean válidas y confiables para evaluar el rendimiento de niños/as con discapacidades, de conformidad con las Secciones 1111(b) y 1201 de la Ley de Educación Primaria y Secundaria (ESEA) de 1965.</w:t>
            </w:r>
          </w:p>
        </w:tc>
        <w:tc>
          <w:tcPr>
            <w:tcW w:w="3890" w:type="dxa"/>
            <w:tcMar>
              <w:top w:w="100" w:type="dxa"/>
              <w:left w:w="100" w:type="dxa"/>
              <w:bottom w:w="100" w:type="dxa"/>
              <w:right w:w="100" w:type="dxa"/>
            </w:tcMar>
          </w:tcPr>
          <w:p w14:paraId="75CDAE2B" w14:textId="77777777" w:rsidR="00415DC4" w:rsidRPr="00D51B49" w:rsidRDefault="0006556A">
            <w:pPr>
              <w:widowControl w:val="0"/>
              <w:numPr>
                <w:ilvl w:val="0"/>
                <w:numId w:val="1"/>
              </w:numPr>
              <w:pBdr>
                <w:top w:val="nil"/>
                <w:left w:val="nil"/>
                <w:bottom w:val="nil"/>
                <w:right w:val="nil"/>
                <w:between w:val="nil"/>
              </w:pBdr>
              <w:spacing w:after="0" w:line="240" w:lineRule="auto"/>
              <w:rPr>
                <w:color w:val="4D4D4F"/>
                <w:lang w:val="es-ES"/>
              </w:rPr>
            </w:pPr>
            <w:r>
              <w:rPr>
                <w:color w:val="4D4D4F"/>
                <w:lang w:val="es-US"/>
              </w:rPr>
              <w:t>Adaptaciones en las evaluaciones: proporciona financiamiento para la implementación de adaptaciones en las evaluaciones estatales regulares.</w:t>
            </w:r>
          </w:p>
          <w:p w14:paraId="6E9FA7F9" w14:textId="77777777" w:rsidR="00415DC4" w:rsidRPr="00D51B49" w:rsidRDefault="0006556A">
            <w:pPr>
              <w:widowControl w:val="0"/>
              <w:numPr>
                <w:ilvl w:val="0"/>
                <w:numId w:val="1"/>
              </w:numPr>
              <w:pBdr>
                <w:top w:val="nil"/>
                <w:left w:val="nil"/>
                <w:bottom w:val="nil"/>
                <w:right w:val="nil"/>
                <w:between w:val="nil"/>
              </w:pBdr>
              <w:spacing w:after="0" w:line="240" w:lineRule="auto"/>
              <w:rPr>
                <w:color w:val="4D4D4F"/>
                <w:lang w:val="es-ES"/>
              </w:rPr>
            </w:pPr>
            <w:r>
              <w:rPr>
                <w:color w:val="4D4D4F"/>
                <w:lang w:val="es-US"/>
              </w:rPr>
              <w:t>Evaluación alternativa: proporciona financiamiento para el desarrollo y la implementación de evaluaciones alternativas.</w:t>
            </w:r>
          </w:p>
        </w:tc>
        <w:tc>
          <w:tcPr>
            <w:tcW w:w="920" w:type="dxa"/>
            <w:shd w:val="clear" w:color="auto" w:fill="auto"/>
            <w:tcMar>
              <w:top w:w="100" w:type="dxa"/>
              <w:left w:w="100" w:type="dxa"/>
              <w:bottom w:w="100" w:type="dxa"/>
              <w:right w:w="100" w:type="dxa"/>
            </w:tcMar>
          </w:tcPr>
          <w:p w14:paraId="7DFBDB23"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s.</w:t>
            </w:r>
          </w:p>
        </w:tc>
        <w:tc>
          <w:tcPr>
            <w:tcW w:w="1960" w:type="dxa"/>
            <w:shd w:val="clear" w:color="auto" w:fill="auto"/>
            <w:tcMar>
              <w:top w:w="100" w:type="dxa"/>
              <w:left w:w="100" w:type="dxa"/>
              <w:bottom w:w="100" w:type="dxa"/>
              <w:right w:w="100" w:type="dxa"/>
            </w:tcMar>
          </w:tcPr>
          <w:p w14:paraId="4212CC45"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$8,000,324</w:t>
            </w:r>
          </w:p>
        </w:tc>
      </w:tr>
      <w:tr w:rsidR="00415DC4" w14:paraId="5AACD3B4" w14:textId="77777777" w:rsidTr="00D51B49">
        <w:tc>
          <w:tcPr>
            <w:tcW w:w="3930" w:type="dxa"/>
            <w:tcMar>
              <w:top w:w="100" w:type="dxa"/>
              <w:left w:w="100" w:type="dxa"/>
              <w:bottom w:w="100" w:type="dxa"/>
              <w:right w:w="100" w:type="dxa"/>
            </w:tcMar>
          </w:tcPr>
          <w:p w14:paraId="57E97FA9" w14:textId="77777777" w:rsidR="00415DC4" w:rsidRPr="00D51B49" w:rsidRDefault="0006556A">
            <w:pPr>
              <w:widowControl w:val="0"/>
              <w:spacing w:after="0" w:line="240" w:lineRule="auto"/>
              <w:rPr>
                <w:color w:val="4D4D4F"/>
                <w:lang w:val="es-ES"/>
              </w:rPr>
            </w:pPr>
            <w:r>
              <w:rPr>
                <w:color w:val="4D4D4F"/>
                <w:lang w:val="es-US"/>
              </w:rPr>
              <w:t xml:space="preserve">Provisión de asistencia técnica a escuelas y LEA, y servicios directos, incluidos </w:t>
            </w:r>
            <w:r>
              <w:rPr>
                <w:color w:val="4D4D4F"/>
                <w:lang w:val="es-US"/>
              </w:rPr>
              <w:lastRenderedPageBreak/>
              <w:t>servicios directos a estudiantes como se describe en la Sección 1003A(c)(3) de la ESEA para niños/as con discapacidades, a escuelas o LEA que implementen actividades integrales o específicas de apoyo y mejora en virtud de la Sección 1111(d) de la ESEA según el bajo rendimiento constante del subgrupo desglosado de niños/as con discapacidades; además, se incluye la provisión de desarrollo profesional a docentes de educación especial y regular, que enseñan a niños/as con discapacidades, con base en investigación científica destinada a mejorar la instrucción educativa a fin de mejorar el rendimiento académico basado en los desafiantes estándares académicos descritos en la Sección 1111(b)(1) de la ESEA.</w:t>
            </w:r>
          </w:p>
        </w:tc>
        <w:tc>
          <w:tcPr>
            <w:tcW w:w="3890" w:type="dxa"/>
            <w:tcMar>
              <w:top w:w="100" w:type="dxa"/>
              <w:left w:w="100" w:type="dxa"/>
              <w:bottom w:w="100" w:type="dxa"/>
              <w:right w:w="100" w:type="dxa"/>
            </w:tcMar>
          </w:tcPr>
          <w:p w14:paraId="33D35E9F" w14:textId="77777777" w:rsidR="00415DC4" w:rsidRPr="00D51B49" w:rsidRDefault="0006556A">
            <w:pPr>
              <w:widowControl w:val="0"/>
              <w:numPr>
                <w:ilvl w:val="0"/>
                <w:numId w:val="6"/>
              </w:numPr>
              <w:spacing w:after="0" w:line="240" w:lineRule="auto"/>
              <w:rPr>
                <w:rFonts w:ascii="Calibri" w:eastAsia="Calibri" w:hAnsi="Calibri" w:cs="Calibri"/>
                <w:color w:val="000000"/>
                <w:lang w:val="es-ES"/>
              </w:rPr>
            </w:pPr>
            <w:r>
              <w:rPr>
                <w:color w:val="4D4D4F"/>
                <w:lang w:val="es-US"/>
              </w:rPr>
              <w:lastRenderedPageBreak/>
              <w:t xml:space="preserve">Apoyo a los planes de rediseño escolar que se ocupan </w:t>
            </w:r>
            <w:r>
              <w:rPr>
                <w:color w:val="4D4D4F"/>
                <w:lang w:val="es-US"/>
              </w:rPr>
              <w:lastRenderedPageBreak/>
              <w:t xml:space="preserve">específicamente de los estudiantes con discapacidades en las escuelas identificadas como “escuelas en las que se requiere una intervención urgente”, con base en el rendimiento consistentemente bajo del subgrupo de estudiantes con discapacidades. </w:t>
            </w:r>
          </w:p>
        </w:tc>
        <w:tc>
          <w:tcPr>
            <w:tcW w:w="920" w:type="dxa"/>
            <w:tcMar>
              <w:top w:w="100" w:type="dxa"/>
              <w:left w:w="100" w:type="dxa"/>
              <w:bottom w:w="100" w:type="dxa"/>
              <w:right w:w="100" w:type="dxa"/>
            </w:tcMar>
          </w:tcPr>
          <w:p w14:paraId="4EE1C6A3" w14:textId="77777777" w:rsidR="00415DC4" w:rsidRDefault="0006556A">
            <w:pPr>
              <w:widowControl w:val="0"/>
              <w:spacing w:after="0" w:line="240" w:lineRule="auto"/>
              <w:rPr>
                <w:color w:val="4D4D4F"/>
              </w:rPr>
            </w:pPr>
            <w:r>
              <w:rPr>
                <w:color w:val="4D4D4F"/>
                <w:lang w:val="es-US"/>
              </w:rPr>
              <w:lastRenderedPageBreak/>
              <w:t>t.</w:t>
            </w:r>
          </w:p>
        </w:tc>
        <w:tc>
          <w:tcPr>
            <w:tcW w:w="1960" w:type="dxa"/>
            <w:tcMar>
              <w:top w:w="100" w:type="dxa"/>
              <w:left w:w="100" w:type="dxa"/>
              <w:bottom w:w="100" w:type="dxa"/>
              <w:right w:w="100" w:type="dxa"/>
            </w:tcMar>
          </w:tcPr>
          <w:p w14:paraId="468E42FE" w14:textId="77777777" w:rsidR="00415DC4" w:rsidRDefault="0006556A">
            <w:pPr>
              <w:widowControl w:val="0"/>
              <w:spacing w:after="0" w:line="240" w:lineRule="auto"/>
              <w:jc w:val="right"/>
              <w:rPr>
                <w:color w:val="4D4D4F"/>
              </w:rPr>
            </w:pPr>
            <w:r>
              <w:rPr>
                <w:color w:val="4D4D4F"/>
                <w:lang w:val="es-US"/>
              </w:rPr>
              <w:t>$1,865,726</w:t>
            </w:r>
          </w:p>
        </w:tc>
      </w:tr>
      <w:tr w:rsidR="00415DC4" w:rsidRPr="00D51B49" w14:paraId="402B3358" w14:textId="77777777" w:rsidTr="00D51B49">
        <w:tc>
          <w:tcPr>
            <w:tcW w:w="3930" w:type="dxa"/>
            <w:tcMar>
              <w:top w:w="100" w:type="dxa"/>
              <w:left w:w="100" w:type="dxa"/>
              <w:bottom w:w="100" w:type="dxa"/>
              <w:right w:w="100" w:type="dxa"/>
            </w:tcMar>
          </w:tcPr>
          <w:p w14:paraId="33427A88" w14:textId="45B7C143" w:rsidR="00415DC4" w:rsidRPr="00D51B49" w:rsidRDefault="0006556A">
            <w:pPr>
              <w:widowControl w:val="0"/>
              <w:pBdr>
                <w:top w:val="nil"/>
                <w:left w:val="nil"/>
                <w:bottom w:val="nil"/>
                <w:right w:val="nil"/>
                <w:between w:val="nil"/>
              </w:pBdr>
              <w:spacing w:after="0" w:line="240" w:lineRule="auto"/>
              <w:rPr>
                <w:color w:val="4D4D4F"/>
                <w:lang w:val="es-ES"/>
              </w:rPr>
            </w:pPr>
            <w:r>
              <w:rPr>
                <w:b/>
                <w:bCs/>
                <w:color w:val="4D4D4F"/>
                <w:lang w:val="es-US"/>
              </w:rPr>
              <w:t xml:space="preserve">Local Educational Agency Risk Pool </w:t>
            </w:r>
            <w:r>
              <w:rPr>
                <w:color w:val="4D4D4F"/>
                <w:lang w:val="es-US"/>
              </w:rPr>
              <w:t>(fondo de riesgo para agencias educativas locales) (20 U.S.C.1411(e)(3)(A)): A fin de ayudar a las agencias educativas locales (incluidas las escuelas subvencionadas que sean agencias educativas locales o consorcios de agencias educativas locales) a cubrir las necesidades de los niños/as con discapacidades de alta necesidad, cada Estado tendrá la opción de reservar para cada año fiscal el 10 % de la cantidad de los fondos que el Estado reserve para actividades de nivel estatal en virtud</w:t>
            </w:r>
            <w:r w:rsidR="00D51B49">
              <w:rPr>
                <w:color w:val="4D4D4F"/>
                <w:lang w:val="es-US"/>
              </w:rPr>
              <w:t xml:space="preserve"> d</w:t>
            </w:r>
            <w:r>
              <w:rPr>
                <w:color w:val="4D4D4F"/>
                <w:lang w:val="es-US"/>
              </w:rPr>
              <w:t>e 20 U.S.C. 1411(e)(2)(A); 34 CFR §300.704.</w:t>
            </w:r>
          </w:p>
        </w:tc>
        <w:tc>
          <w:tcPr>
            <w:tcW w:w="3890" w:type="dxa"/>
            <w:shd w:val="clear" w:color="auto" w:fill="CCCCCC"/>
            <w:tcMar>
              <w:top w:w="100" w:type="dxa"/>
              <w:left w:w="100" w:type="dxa"/>
              <w:bottom w:w="100" w:type="dxa"/>
              <w:right w:w="100" w:type="dxa"/>
            </w:tcMar>
          </w:tcPr>
          <w:p w14:paraId="18637A97" w14:textId="77777777" w:rsidR="00415DC4" w:rsidRPr="00D51B49" w:rsidRDefault="00415DC4">
            <w:pPr>
              <w:widowControl w:val="0"/>
              <w:pBdr>
                <w:top w:val="nil"/>
                <w:left w:val="nil"/>
                <w:bottom w:val="nil"/>
                <w:right w:val="nil"/>
                <w:between w:val="nil"/>
              </w:pBdr>
              <w:spacing w:after="0" w:line="240" w:lineRule="auto"/>
              <w:rPr>
                <w:color w:val="4D4D4F"/>
                <w:lang w:val="es-ES"/>
              </w:rPr>
            </w:pPr>
          </w:p>
        </w:tc>
        <w:tc>
          <w:tcPr>
            <w:tcW w:w="920" w:type="dxa"/>
            <w:shd w:val="clear" w:color="auto" w:fill="CCCCCC"/>
            <w:tcMar>
              <w:top w:w="100" w:type="dxa"/>
              <w:left w:w="100" w:type="dxa"/>
              <w:bottom w:w="100" w:type="dxa"/>
              <w:right w:w="100" w:type="dxa"/>
            </w:tcMar>
          </w:tcPr>
          <w:p w14:paraId="3B62BBC3" w14:textId="77777777" w:rsidR="00415DC4" w:rsidRPr="00D51B49" w:rsidRDefault="00415DC4">
            <w:pPr>
              <w:widowControl w:val="0"/>
              <w:pBdr>
                <w:top w:val="nil"/>
                <w:left w:val="nil"/>
                <w:bottom w:val="nil"/>
                <w:right w:val="nil"/>
                <w:between w:val="nil"/>
              </w:pBdr>
              <w:spacing w:after="0" w:line="240" w:lineRule="auto"/>
              <w:rPr>
                <w:color w:val="4D4D4F"/>
                <w:lang w:val="es-ES"/>
              </w:rPr>
            </w:pPr>
          </w:p>
        </w:tc>
        <w:tc>
          <w:tcPr>
            <w:tcW w:w="1960" w:type="dxa"/>
            <w:shd w:val="clear" w:color="auto" w:fill="CCCCCC"/>
            <w:tcMar>
              <w:top w:w="100" w:type="dxa"/>
              <w:left w:w="100" w:type="dxa"/>
              <w:bottom w:w="100" w:type="dxa"/>
              <w:right w:w="100" w:type="dxa"/>
            </w:tcMar>
          </w:tcPr>
          <w:p w14:paraId="55C9F790" w14:textId="77777777" w:rsidR="00415DC4" w:rsidRPr="00D51B49" w:rsidRDefault="00415DC4">
            <w:pPr>
              <w:widowControl w:val="0"/>
              <w:pBdr>
                <w:top w:val="nil"/>
                <w:left w:val="nil"/>
                <w:bottom w:val="nil"/>
                <w:right w:val="nil"/>
                <w:between w:val="nil"/>
              </w:pBdr>
              <w:spacing w:after="0" w:line="240" w:lineRule="auto"/>
              <w:rPr>
                <w:color w:val="4D4D4F"/>
                <w:lang w:val="es-ES"/>
              </w:rPr>
            </w:pPr>
          </w:p>
        </w:tc>
      </w:tr>
      <w:tr w:rsidR="00415DC4" w14:paraId="4D5F3D63" w14:textId="77777777" w:rsidTr="00D51B49">
        <w:trPr>
          <w:trHeight w:val="1860"/>
        </w:trPr>
        <w:tc>
          <w:tcPr>
            <w:tcW w:w="3930" w:type="dxa"/>
            <w:tcMar>
              <w:top w:w="100" w:type="dxa"/>
              <w:left w:w="100" w:type="dxa"/>
              <w:bottom w:w="100" w:type="dxa"/>
              <w:right w:w="100" w:type="dxa"/>
            </w:tcMar>
          </w:tcPr>
          <w:p w14:paraId="545D7D40" w14:textId="77777777" w:rsidR="00415DC4" w:rsidRPr="00D51B49" w:rsidRDefault="0006556A">
            <w:pPr>
              <w:widowControl w:val="0"/>
              <w:pBdr>
                <w:top w:val="nil"/>
                <w:left w:val="nil"/>
                <w:bottom w:val="nil"/>
                <w:right w:val="nil"/>
                <w:between w:val="nil"/>
              </w:pBdr>
              <w:spacing w:after="0" w:line="240" w:lineRule="auto"/>
              <w:rPr>
                <w:color w:val="4D4D4F"/>
                <w:lang w:val="es-ES"/>
              </w:rPr>
            </w:pPr>
            <w:r>
              <w:rPr>
                <w:color w:val="4D4D4F"/>
                <w:lang w:val="es-US"/>
              </w:rPr>
              <w:t>Fijación y realización de desembolsos del fondo de alto costo a agencias educativas locales de acuerdo con 20U.S.C.1411(e)(3) durante el primer año fiscal y los siguientes del fondo de alto costo, y</w:t>
            </w:r>
          </w:p>
        </w:tc>
        <w:tc>
          <w:tcPr>
            <w:tcW w:w="3890" w:type="dxa"/>
            <w:tcMar>
              <w:top w:w="100" w:type="dxa"/>
              <w:left w:w="100" w:type="dxa"/>
              <w:bottom w:w="100" w:type="dxa"/>
              <w:right w:w="100" w:type="dxa"/>
            </w:tcMar>
          </w:tcPr>
          <w:p w14:paraId="219AE8A1" w14:textId="77777777" w:rsidR="00415DC4" w:rsidRPr="00D51B49" w:rsidRDefault="0006556A">
            <w:pPr>
              <w:widowControl w:val="0"/>
              <w:numPr>
                <w:ilvl w:val="0"/>
                <w:numId w:val="12"/>
              </w:numPr>
              <w:pBdr>
                <w:top w:val="nil"/>
                <w:left w:val="nil"/>
                <w:bottom w:val="nil"/>
                <w:right w:val="nil"/>
                <w:between w:val="nil"/>
              </w:pBdr>
              <w:spacing w:after="0" w:line="240" w:lineRule="auto"/>
              <w:rPr>
                <w:color w:val="4D4D4F"/>
                <w:lang w:val="es-ES"/>
              </w:rPr>
            </w:pPr>
            <w:r>
              <w:rPr>
                <w:color w:val="4D4D4F"/>
                <w:lang w:val="es-US"/>
              </w:rPr>
              <w:t>Fondo de alto costo para cubrir gastos adicionales asociados a estudiantes con necesidades complejas.</w:t>
            </w:r>
          </w:p>
        </w:tc>
        <w:tc>
          <w:tcPr>
            <w:tcW w:w="920" w:type="dxa"/>
            <w:tcMar>
              <w:top w:w="100" w:type="dxa"/>
              <w:left w:w="100" w:type="dxa"/>
              <w:bottom w:w="100" w:type="dxa"/>
              <w:right w:w="100" w:type="dxa"/>
            </w:tcMar>
          </w:tcPr>
          <w:p w14:paraId="4EDB1CF0"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u.</w:t>
            </w:r>
          </w:p>
        </w:tc>
        <w:tc>
          <w:tcPr>
            <w:tcW w:w="1960" w:type="dxa"/>
            <w:tcMar>
              <w:top w:w="100" w:type="dxa"/>
              <w:left w:w="100" w:type="dxa"/>
              <w:bottom w:w="100" w:type="dxa"/>
              <w:right w:w="100" w:type="dxa"/>
            </w:tcMar>
          </w:tcPr>
          <w:p w14:paraId="46F202B9" w14:textId="77777777" w:rsidR="00415DC4" w:rsidRDefault="0006556A">
            <w:pPr>
              <w:widowControl w:val="0"/>
              <w:pBdr>
                <w:top w:val="nil"/>
                <w:left w:val="nil"/>
                <w:bottom w:val="nil"/>
                <w:right w:val="nil"/>
                <w:between w:val="nil"/>
              </w:pBdr>
              <w:spacing w:after="0" w:line="240" w:lineRule="auto"/>
              <w:rPr>
                <w:color w:val="4D4D4F"/>
              </w:rPr>
            </w:pPr>
            <w:r>
              <w:rPr>
                <w:color w:val="4D4D4F"/>
                <w:lang w:val="es-US"/>
              </w:rPr>
              <w:t>$4,400,000</w:t>
            </w:r>
          </w:p>
        </w:tc>
      </w:tr>
      <w:tr w:rsidR="00415DC4" w14:paraId="44066E23" w14:textId="77777777" w:rsidTr="00D51B49">
        <w:tc>
          <w:tcPr>
            <w:tcW w:w="3930" w:type="dxa"/>
            <w:tcMar>
              <w:top w:w="100" w:type="dxa"/>
              <w:left w:w="100" w:type="dxa"/>
              <w:bottom w:w="100" w:type="dxa"/>
              <w:right w:w="100" w:type="dxa"/>
            </w:tcMar>
          </w:tcPr>
          <w:p w14:paraId="59C2D20F" w14:textId="77777777" w:rsidR="00415DC4" w:rsidRPr="00D51B49" w:rsidRDefault="0006556A">
            <w:pPr>
              <w:widowControl w:val="0"/>
              <w:spacing w:after="0" w:line="240" w:lineRule="auto"/>
              <w:rPr>
                <w:color w:val="4D4D4F"/>
                <w:lang w:val="es-ES"/>
              </w:rPr>
            </w:pPr>
            <w:r>
              <w:rPr>
                <w:color w:val="4D4D4F"/>
                <w:lang w:val="es-US"/>
              </w:rPr>
              <w:t xml:space="preserve">Apoyo a formas innovadoras y eficaces de repartir costos por parte del Estado, de una agencia educativa local o entre un </w:t>
            </w:r>
            <w:r>
              <w:rPr>
                <w:color w:val="4D4D4F"/>
                <w:lang w:val="es-US"/>
              </w:rPr>
              <w:lastRenderedPageBreak/>
              <w:t xml:space="preserve">consorcio de agencias educativas locales, </w:t>
            </w:r>
          </w:p>
          <w:p w14:paraId="22017426" w14:textId="77777777" w:rsidR="00415DC4" w:rsidRPr="00D51B49" w:rsidRDefault="0006556A">
            <w:pPr>
              <w:widowControl w:val="0"/>
              <w:spacing w:after="0" w:line="240" w:lineRule="auto"/>
              <w:rPr>
                <w:color w:val="4D4D4F"/>
                <w:lang w:val="es-ES"/>
              </w:rPr>
            </w:pPr>
            <w:r>
              <w:rPr>
                <w:color w:val="4D4D4F"/>
                <w:lang w:val="es-US"/>
              </w:rPr>
              <w:t>según lo determine el Estado en coordinación con los representantes de las agencias educativas locales, sujeto a 20 U.S.C. 1411(e)(3)(B)(ii) [La cantidad no podrá ser superior al 5 % de la cantidad reservada para el fondo de riesgo para LEA].</w:t>
            </w:r>
          </w:p>
        </w:tc>
        <w:tc>
          <w:tcPr>
            <w:tcW w:w="3890" w:type="dxa"/>
            <w:tcMar>
              <w:top w:w="100" w:type="dxa"/>
              <w:left w:w="100" w:type="dxa"/>
              <w:bottom w:w="100" w:type="dxa"/>
              <w:right w:w="100" w:type="dxa"/>
            </w:tcMar>
          </w:tcPr>
          <w:p w14:paraId="2CD1A275" w14:textId="77777777" w:rsidR="00415DC4" w:rsidRPr="00D51B49" w:rsidRDefault="00415DC4">
            <w:pPr>
              <w:widowControl w:val="0"/>
              <w:spacing w:after="0" w:line="240" w:lineRule="auto"/>
              <w:rPr>
                <w:color w:val="4D4D4F"/>
                <w:lang w:val="es-ES"/>
              </w:rPr>
            </w:pPr>
          </w:p>
        </w:tc>
        <w:tc>
          <w:tcPr>
            <w:tcW w:w="920" w:type="dxa"/>
            <w:tcMar>
              <w:top w:w="100" w:type="dxa"/>
              <w:left w:w="100" w:type="dxa"/>
              <w:bottom w:w="100" w:type="dxa"/>
              <w:right w:w="100" w:type="dxa"/>
            </w:tcMar>
          </w:tcPr>
          <w:p w14:paraId="01523561" w14:textId="77777777" w:rsidR="00415DC4" w:rsidRDefault="0006556A">
            <w:pPr>
              <w:widowControl w:val="0"/>
              <w:spacing w:after="0" w:line="240" w:lineRule="auto"/>
              <w:rPr>
                <w:color w:val="4D4D4F"/>
              </w:rPr>
            </w:pPr>
            <w:r>
              <w:rPr>
                <w:color w:val="4D4D4F"/>
                <w:lang w:val="es-US"/>
              </w:rPr>
              <w:t>v.</w:t>
            </w:r>
          </w:p>
        </w:tc>
        <w:tc>
          <w:tcPr>
            <w:tcW w:w="1960" w:type="dxa"/>
            <w:tcMar>
              <w:top w:w="100" w:type="dxa"/>
              <w:left w:w="100" w:type="dxa"/>
              <w:bottom w:w="100" w:type="dxa"/>
              <w:right w:w="100" w:type="dxa"/>
            </w:tcMar>
          </w:tcPr>
          <w:p w14:paraId="49D679AB" w14:textId="77777777" w:rsidR="00415DC4" w:rsidRDefault="0006556A">
            <w:pPr>
              <w:widowControl w:val="0"/>
              <w:spacing w:after="0" w:line="240" w:lineRule="auto"/>
              <w:jc w:val="right"/>
              <w:rPr>
                <w:color w:val="4D4D4F"/>
              </w:rPr>
            </w:pPr>
            <w:r>
              <w:rPr>
                <w:color w:val="4D4D4F"/>
                <w:lang w:val="es-US"/>
              </w:rPr>
              <w:t>$0</w:t>
            </w:r>
          </w:p>
        </w:tc>
      </w:tr>
      <w:tr w:rsidR="00415DC4" w:rsidRPr="00D51B49" w14:paraId="4BBD2E4F" w14:textId="77777777" w:rsidTr="00D51B49">
        <w:tc>
          <w:tcPr>
            <w:tcW w:w="3930" w:type="dxa"/>
            <w:tcMar>
              <w:top w:w="100" w:type="dxa"/>
              <w:left w:w="100" w:type="dxa"/>
              <w:bottom w:w="100" w:type="dxa"/>
              <w:right w:w="100" w:type="dxa"/>
            </w:tcMar>
          </w:tcPr>
          <w:p w14:paraId="45BC11ED" w14:textId="77777777" w:rsidR="00415DC4" w:rsidRPr="00D51B49" w:rsidRDefault="0006556A">
            <w:pPr>
              <w:widowControl w:val="0"/>
              <w:spacing w:after="0" w:line="240" w:lineRule="auto"/>
              <w:rPr>
                <w:color w:val="4D4D4F"/>
                <w:lang w:val="es-ES"/>
              </w:rPr>
            </w:pPr>
            <w:r>
              <w:rPr>
                <w:color w:val="4D4D4F"/>
                <w:lang w:val="es-US"/>
              </w:rPr>
              <w:t>Creación del fondo de alto costo (20 U.S.C.1411(e)(3)(B)(i);34 CFR§300.704)</w:t>
            </w:r>
          </w:p>
        </w:tc>
        <w:tc>
          <w:tcPr>
            <w:tcW w:w="3890" w:type="dxa"/>
            <w:shd w:val="clear" w:color="auto" w:fill="CCCCCC"/>
            <w:tcMar>
              <w:top w:w="100" w:type="dxa"/>
              <w:left w:w="100" w:type="dxa"/>
              <w:bottom w:w="100" w:type="dxa"/>
              <w:right w:w="100" w:type="dxa"/>
            </w:tcMar>
          </w:tcPr>
          <w:p w14:paraId="5B088970" w14:textId="77777777" w:rsidR="00415DC4" w:rsidRPr="00D51B49" w:rsidRDefault="00415DC4">
            <w:pPr>
              <w:widowControl w:val="0"/>
              <w:spacing w:after="0" w:line="240" w:lineRule="auto"/>
              <w:rPr>
                <w:color w:val="4D4D4F"/>
                <w:lang w:val="es-ES"/>
              </w:rPr>
            </w:pPr>
          </w:p>
        </w:tc>
        <w:tc>
          <w:tcPr>
            <w:tcW w:w="920" w:type="dxa"/>
            <w:shd w:val="clear" w:color="auto" w:fill="CCCCCC"/>
            <w:tcMar>
              <w:top w:w="100" w:type="dxa"/>
              <w:left w:w="100" w:type="dxa"/>
              <w:bottom w:w="100" w:type="dxa"/>
              <w:right w:w="100" w:type="dxa"/>
            </w:tcMar>
          </w:tcPr>
          <w:p w14:paraId="718D6D71" w14:textId="77777777" w:rsidR="00415DC4" w:rsidRPr="00D51B49" w:rsidRDefault="00415DC4">
            <w:pPr>
              <w:widowControl w:val="0"/>
              <w:spacing w:after="0" w:line="240" w:lineRule="auto"/>
              <w:rPr>
                <w:color w:val="4D4D4F"/>
                <w:lang w:val="es-ES"/>
              </w:rPr>
            </w:pPr>
          </w:p>
        </w:tc>
        <w:tc>
          <w:tcPr>
            <w:tcW w:w="1960" w:type="dxa"/>
            <w:shd w:val="clear" w:color="auto" w:fill="CCCCCC"/>
            <w:tcMar>
              <w:top w:w="100" w:type="dxa"/>
              <w:left w:w="100" w:type="dxa"/>
              <w:bottom w:w="100" w:type="dxa"/>
              <w:right w:w="100" w:type="dxa"/>
            </w:tcMar>
          </w:tcPr>
          <w:p w14:paraId="59AC8D7F" w14:textId="77777777" w:rsidR="00415DC4" w:rsidRPr="00D51B49" w:rsidRDefault="00415DC4">
            <w:pPr>
              <w:widowControl w:val="0"/>
              <w:spacing w:after="0" w:line="240" w:lineRule="auto"/>
              <w:rPr>
                <w:color w:val="4D4D4F"/>
                <w:lang w:val="es-ES"/>
              </w:rPr>
            </w:pPr>
          </w:p>
        </w:tc>
      </w:tr>
      <w:tr w:rsidR="00415DC4" w:rsidRPr="00D51B49" w14:paraId="2238F450" w14:textId="77777777" w:rsidTr="00D51B49">
        <w:tc>
          <w:tcPr>
            <w:tcW w:w="3930" w:type="dxa"/>
            <w:tcMar>
              <w:top w:w="100" w:type="dxa"/>
              <w:left w:w="100" w:type="dxa"/>
              <w:bottom w:w="100" w:type="dxa"/>
              <w:right w:w="100" w:type="dxa"/>
            </w:tcMar>
          </w:tcPr>
          <w:p w14:paraId="33A65921" w14:textId="77777777" w:rsidR="00415DC4" w:rsidRPr="00D51B49" w:rsidRDefault="0006556A">
            <w:pPr>
              <w:widowControl w:val="0"/>
              <w:spacing w:after="0" w:line="240" w:lineRule="auto"/>
              <w:rPr>
                <w:color w:val="4D4D4F"/>
                <w:lang w:val="es-ES"/>
              </w:rPr>
            </w:pPr>
            <w:r>
              <w:rPr>
                <w:color w:val="4D4D4F"/>
                <w:lang w:val="es-US"/>
              </w:rPr>
              <w:t>Un Estado no usará ninguno de los fondos que reserve conforme a 20 U.S.C.1411(e)(3)(A)(i); 34 CFR §300.704, pero puede usar los fondos que reserve conforme a 20 U.S.C. 1411(e)(1);34 CFR §300.704 para establecer y apoyar el fondo de alto costo.</w:t>
            </w:r>
          </w:p>
        </w:tc>
        <w:tc>
          <w:tcPr>
            <w:tcW w:w="3890" w:type="dxa"/>
            <w:shd w:val="clear" w:color="auto" w:fill="CCCCCC"/>
            <w:tcMar>
              <w:top w:w="100" w:type="dxa"/>
              <w:left w:w="100" w:type="dxa"/>
              <w:bottom w:w="100" w:type="dxa"/>
              <w:right w:w="100" w:type="dxa"/>
            </w:tcMar>
          </w:tcPr>
          <w:p w14:paraId="0FB604F5" w14:textId="77777777" w:rsidR="00415DC4" w:rsidRPr="00D51B49" w:rsidRDefault="00415DC4">
            <w:pPr>
              <w:widowControl w:val="0"/>
              <w:spacing w:after="0" w:line="240" w:lineRule="auto"/>
              <w:rPr>
                <w:color w:val="4D4D4F"/>
                <w:lang w:val="es-ES"/>
              </w:rPr>
            </w:pPr>
          </w:p>
        </w:tc>
        <w:tc>
          <w:tcPr>
            <w:tcW w:w="920" w:type="dxa"/>
            <w:shd w:val="clear" w:color="auto" w:fill="CCCCCC"/>
            <w:tcMar>
              <w:top w:w="100" w:type="dxa"/>
              <w:left w:w="100" w:type="dxa"/>
              <w:bottom w:w="100" w:type="dxa"/>
              <w:right w:w="100" w:type="dxa"/>
            </w:tcMar>
          </w:tcPr>
          <w:p w14:paraId="54E8E6CC" w14:textId="77777777" w:rsidR="00415DC4" w:rsidRPr="00D51B49" w:rsidRDefault="00415DC4">
            <w:pPr>
              <w:widowControl w:val="0"/>
              <w:spacing w:after="0" w:line="240" w:lineRule="auto"/>
              <w:rPr>
                <w:color w:val="4D4D4F"/>
                <w:lang w:val="es-ES"/>
              </w:rPr>
            </w:pPr>
          </w:p>
        </w:tc>
        <w:tc>
          <w:tcPr>
            <w:tcW w:w="1960" w:type="dxa"/>
            <w:shd w:val="clear" w:color="auto" w:fill="CCCCCC"/>
            <w:tcMar>
              <w:top w:w="100" w:type="dxa"/>
              <w:left w:w="100" w:type="dxa"/>
              <w:bottom w:w="100" w:type="dxa"/>
              <w:right w:w="100" w:type="dxa"/>
            </w:tcMar>
          </w:tcPr>
          <w:p w14:paraId="05EAF801" w14:textId="77777777" w:rsidR="00415DC4" w:rsidRPr="00D51B49" w:rsidRDefault="00415DC4">
            <w:pPr>
              <w:widowControl w:val="0"/>
              <w:spacing w:after="0" w:line="240" w:lineRule="auto"/>
              <w:rPr>
                <w:color w:val="4D4D4F"/>
                <w:lang w:val="es-ES"/>
              </w:rPr>
            </w:pPr>
          </w:p>
        </w:tc>
      </w:tr>
    </w:tbl>
    <w:p w14:paraId="7E017282" w14:textId="77777777" w:rsidR="00415DC4" w:rsidRPr="00D51B49" w:rsidRDefault="00415DC4">
      <w:pPr>
        <w:spacing w:after="0" w:line="240" w:lineRule="auto"/>
        <w:rPr>
          <w:lang w:val="es-ES"/>
        </w:rPr>
      </w:pPr>
      <w:bookmarkStart w:id="4" w:name="_6kpmys74hr9e" w:colFirst="0" w:colLast="0"/>
      <w:bookmarkEnd w:id="4"/>
    </w:p>
    <w:p w14:paraId="1892D014" w14:textId="77777777" w:rsidR="00415DC4" w:rsidRPr="00D51B49" w:rsidRDefault="00415DC4">
      <w:pPr>
        <w:spacing w:line="240" w:lineRule="auto"/>
        <w:rPr>
          <w:lang w:val="es-ES"/>
        </w:rPr>
      </w:pPr>
    </w:p>
    <w:p w14:paraId="534543A4" w14:textId="77777777" w:rsidR="00415DC4" w:rsidRPr="00D51B49" w:rsidRDefault="00415DC4">
      <w:pPr>
        <w:spacing w:line="240" w:lineRule="auto"/>
        <w:rPr>
          <w:lang w:val="es-ES"/>
        </w:rPr>
      </w:pPr>
    </w:p>
    <w:p w14:paraId="2340C325" w14:textId="77777777" w:rsidR="00415DC4" w:rsidRPr="00D51B49" w:rsidRDefault="00415DC4">
      <w:pPr>
        <w:spacing w:line="240" w:lineRule="auto"/>
        <w:rPr>
          <w:lang w:val="es-ES"/>
        </w:rPr>
      </w:pPr>
    </w:p>
    <w:sectPr w:rsidR="00415DC4" w:rsidRPr="00D51B49">
      <w:headerReference w:type="default" r:id="rId7"/>
      <w:footerReference w:type="default" r:id="rId8"/>
      <w:headerReference w:type="first" r:id="rId9"/>
      <w:footerReference w:type="first" r:id="rId10"/>
      <w:pgSz w:w="12240" w:h="15840"/>
      <w:pgMar w:top="1080" w:right="720" w:bottom="108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B8B0" w14:textId="77777777" w:rsidR="00663CE5" w:rsidRDefault="00663CE5">
      <w:pPr>
        <w:spacing w:after="0" w:line="240" w:lineRule="auto"/>
      </w:pPr>
      <w:r>
        <w:separator/>
      </w:r>
    </w:p>
  </w:endnote>
  <w:endnote w:type="continuationSeparator" w:id="0">
    <w:p w14:paraId="3258D436" w14:textId="77777777" w:rsidR="00663CE5" w:rsidRDefault="0066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w:altName w:val="Calibri"/>
    <w:charset w:val="00"/>
    <w:family w:val="auto"/>
    <w:pitch w:val="variable"/>
    <w:sig w:usb0="A00000FF" w:usb1="4000205B" w:usb2="00000000" w:usb3="00000000" w:csb0="00000193" w:csb1="00000000"/>
  </w:font>
  <w:font w:name="Public Sans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726" w14:textId="77777777" w:rsidR="00415DC4" w:rsidRDefault="0006556A">
    <w:pPr>
      <w:spacing w:after="0"/>
      <w:rPr>
        <w:b/>
        <w:sz w:val="16"/>
        <w:szCs w:val="16"/>
      </w:rPr>
    </w:pPr>
    <w:r w:rsidRPr="00D51B49">
      <w:rPr>
        <w:b/>
        <w:bCs/>
        <w:sz w:val="16"/>
        <w:szCs w:val="16"/>
        <w:lang w:val="en-US"/>
      </w:rPr>
      <w:t>Louisiana Department of Education</w:t>
    </w:r>
  </w:p>
  <w:p w14:paraId="21F25597" w14:textId="77777777" w:rsidR="00415DC4" w:rsidRDefault="00000000">
    <w:pPr>
      <w:tabs>
        <w:tab w:val="right" w:pos="10800"/>
      </w:tabs>
      <w:spacing w:after="0"/>
    </w:pPr>
    <w:hyperlink r:id="rId1">
      <w:r w:rsidR="0006556A" w:rsidRPr="00D51B49">
        <w:rPr>
          <w:color w:val="017F92"/>
          <w:sz w:val="16"/>
          <w:szCs w:val="16"/>
          <w:u w:val="single"/>
          <w:lang w:val="en-US"/>
        </w:rPr>
        <w:t>doe.louisiana.gov</w:t>
      </w:r>
    </w:hyperlink>
    <w:r w:rsidR="0006556A" w:rsidRPr="00D51B49">
      <w:rPr>
        <w:sz w:val="16"/>
        <w:szCs w:val="16"/>
        <w:lang w:val="en-US"/>
      </w:rPr>
      <w:t xml:space="preserve">  |  P.O. Box 94064 •  Baton Rouge, LA •  70804-9064</w:t>
    </w:r>
    <w:r w:rsidR="0006556A" w:rsidRPr="00D51B49">
      <w:rPr>
        <w:sz w:val="16"/>
        <w:szCs w:val="16"/>
        <w:lang w:val="en-US"/>
      </w:rPr>
      <w:tab/>
      <w:t xml:space="preserve">Page </w:t>
    </w:r>
    <w:r w:rsidR="0006556A">
      <w:rPr>
        <w:sz w:val="16"/>
        <w:szCs w:val="16"/>
        <w:lang w:val="es-US"/>
      </w:rPr>
      <w:fldChar w:fldCharType="begin"/>
    </w:r>
    <w:r w:rsidR="0006556A" w:rsidRPr="00D51B49">
      <w:rPr>
        <w:sz w:val="16"/>
        <w:szCs w:val="16"/>
        <w:lang w:val="en-US"/>
      </w:rPr>
      <w:instrText>PAGE</w:instrText>
    </w:r>
    <w:r w:rsidR="0006556A">
      <w:rPr>
        <w:sz w:val="16"/>
        <w:szCs w:val="16"/>
        <w:lang w:val="es-US"/>
      </w:rPr>
      <w:fldChar w:fldCharType="separate"/>
    </w:r>
    <w:r w:rsidR="0006556A" w:rsidRPr="00D51B49">
      <w:rPr>
        <w:noProof/>
        <w:sz w:val="16"/>
        <w:szCs w:val="16"/>
        <w:lang w:val="en-US"/>
      </w:rPr>
      <w:t>6</w:t>
    </w:r>
    <w:r w:rsidR="0006556A">
      <w:rPr>
        <w:sz w:val="16"/>
        <w:szCs w:val="16"/>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A81F" w14:textId="77777777" w:rsidR="00415DC4" w:rsidRDefault="0006556A">
    <w:pPr>
      <w:spacing w:after="0"/>
      <w:rPr>
        <w:b/>
        <w:sz w:val="16"/>
        <w:szCs w:val="16"/>
      </w:rPr>
    </w:pPr>
    <w:r w:rsidRPr="00D51B49">
      <w:rPr>
        <w:b/>
        <w:bCs/>
        <w:sz w:val="16"/>
        <w:szCs w:val="16"/>
        <w:lang w:val="en-US"/>
      </w:rPr>
      <w:t>Louisiana Department of Education</w:t>
    </w:r>
  </w:p>
  <w:p w14:paraId="39136E26" w14:textId="77777777" w:rsidR="00415DC4" w:rsidRDefault="00000000">
    <w:pPr>
      <w:tabs>
        <w:tab w:val="right" w:pos="10800"/>
      </w:tabs>
      <w:spacing w:after="0"/>
    </w:pPr>
    <w:hyperlink r:id="rId1">
      <w:r w:rsidR="0006556A" w:rsidRPr="00D51B49">
        <w:rPr>
          <w:color w:val="017F92"/>
          <w:sz w:val="16"/>
          <w:szCs w:val="16"/>
          <w:u w:val="single"/>
          <w:lang w:val="en-US"/>
        </w:rPr>
        <w:t>doe.louisiana.gov</w:t>
      </w:r>
    </w:hyperlink>
    <w:r w:rsidR="0006556A" w:rsidRPr="00D51B49">
      <w:rPr>
        <w:sz w:val="16"/>
        <w:szCs w:val="16"/>
        <w:lang w:val="en-US"/>
      </w:rPr>
      <w:t xml:space="preserve">  |  P.O. Box 94064 •  Baton Rouge, LA •  70804-9064</w:t>
    </w:r>
    <w:r w:rsidR="0006556A" w:rsidRPr="00D51B49">
      <w:rPr>
        <w:sz w:val="16"/>
        <w:szCs w:val="16"/>
        <w:lang w:val="en-US"/>
      </w:rPr>
      <w:tab/>
      <w:t xml:space="preserve">Page </w:t>
    </w:r>
    <w:r w:rsidR="0006556A">
      <w:rPr>
        <w:sz w:val="16"/>
        <w:szCs w:val="16"/>
        <w:lang w:val="es-US"/>
      </w:rPr>
      <w:fldChar w:fldCharType="begin"/>
    </w:r>
    <w:r w:rsidR="0006556A" w:rsidRPr="00D51B49">
      <w:rPr>
        <w:sz w:val="16"/>
        <w:szCs w:val="16"/>
        <w:lang w:val="en-US"/>
      </w:rPr>
      <w:instrText>PAGE</w:instrText>
    </w:r>
    <w:r w:rsidR="0006556A">
      <w:rPr>
        <w:sz w:val="16"/>
        <w:szCs w:val="16"/>
        <w:lang w:val="es-US"/>
      </w:rPr>
      <w:fldChar w:fldCharType="separate"/>
    </w:r>
    <w:r w:rsidR="0006556A" w:rsidRPr="00D51B49">
      <w:rPr>
        <w:noProof/>
        <w:sz w:val="16"/>
        <w:szCs w:val="16"/>
        <w:lang w:val="en-US"/>
      </w:rPr>
      <w:t>1</w:t>
    </w:r>
    <w:r w:rsidR="0006556A">
      <w:rPr>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6C32" w14:textId="77777777" w:rsidR="00663CE5" w:rsidRDefault="00663CE5">
      <w:pPr>
        <w:spacing w:after="0" w:line="240" w:lineRule="auto"/>
      </w:pPr>
      <w:r>
        <w:separator/>
      </w:r>
    </w:p>
  </w:footnote>
  <w:footnote w:type="continuationSeparator" w:id="0">
    <w:p w14:paraId="7D64059A" w14:textId="77777777" w:rsidR="00663CE5" w:rsidRDefault="00663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D16C" w14:textId="77777777" w:rsidR="00415DC4" w:rsidRDefault="00000000">
    <w:pPr>
      <w:spacing w:after="0"/>
      <w:rPr>
        <w:sz w:val="12"/>
        <w:szCs w:val="12"/>
      </w:rPr>
    </w:pPr>
    <w:r>
      <w:rPr>
        <w:lang w:val="es-US"/>
      </w:rPr>
      <w:pict w14:anchorId="7EFCA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91.5pt;height:272.15pt;rotation:315;z-index:-251658240;mso-position-horizontal:center;mso-position-horizontal-relative:margin;mso-position-vertical:center;mso-position-vertical-relative:margin" fillcolor="#e8eaed" stroked="f">
          <v:textpath style="font-family:&quot;&amp;quot&quot;;font-size:1pt" string="Draft"/>
          <w10:wrap anchorx="margin" anchory="margin"/>
        </v:shape>
      </w:pict>
    </w:r>
    <w:r w:rsidR="0006556A">
      <w:rPr>
        <w:noProof/>
        <w:lang w:val="es-US"/>
      </w:rPr>
      <w:drawing>
        <wp:anchor distT="0" distB="0" distL="0" distR="0" simplePos="0" relativeHeight="251656192" behindDoc="0" locked="0" layoutInCell="1" hidden="0" allowOverlap="1" wp14:anchorId="3DBE3452" wp14:editId="44EA0754">
          <wp:simplePos x="0" y="0"/>
          <wp:positionH relativeFrom="column">
            <wp:posOffset>-695324</wp:posOffset>
          </wp:positionH>
          <wp:positionV relativeFrom="paragraph">
            <wp:posOffset>0</wp:posOffset>
          </wp:positionV>
          <wp:extent cx="8020050" cy="3000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10" r="40310"/>
                  <a:stretch>
                    <a:fillRect/>
                  </a:stretch>
                </pic:blipFill>
                <pic:spPr>
                  <a:xfrm>
                    <a:off x="0" y="0"/>
                    <a:ext cx="8020050" cy="3000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A45" w14:textId="77777777" w:rsidR="00415DC4" w:rsidRDefault="00000000">
    <w:pPr>
      <w:spacing w:after="0"/>
      <w:rPr>
        <w:b/>
        <w:color w:val="4D4D4F"/>
      </w:rPr>
    </w:pPr>
    <w:r>
      <w:rPr>
        <w:lang w:val="es-US"/>
      </w:rPr>
      <w:pict w14:anchorId="6127F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1.5pt;height:272.15pt;rotation:315;z-index:-251657216;mso-position-horizontal:center;mso-position-horizontal-relative:margin;mso-position-vertical:center;mso-position-vertical-relative:margin" fillcolor="#e8eaed" stroked="f">
          <v:textpath style="font-family:&quot;&amp;quot&quot;;font-size:1pt" string="Draft"/>
          <w10:wrap anchorx="margin" anchory="margin"/>
        </v:shape>
      </w:pict>
    </w:r>
    <w:r w:rsidR="0006556A">
      <w:rPr>
        <w:noProof/>
        <w:lang w:val="es-US"/>
      </w:rPr>
      <w:drawing>
        <wp:anchor distT="0" distB="0" distL="0" distR="0" simplePos="0" relativeHeight="251657216" behindDoc="0" locked="0" layoutInCell="1" hidden="0" allowOverlap="1" wp14:anchorId="563BBFB8" wp14:editId="4D36E8EF">
          <wp:simplePos x="0" y="0"/>
          <wp:positionH relativeFrom="column">
            <wp:posOffset>-466724</wp:posOffset>
          </wp:positionH>
          <wp:positionV relativeFrom="paragraph">
            <wp:posOffset>0</wp:posOffset>
          </wp:positionV>
          <wp:extent cx="7791450" cy="120001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7" b="87"/>
                  <a:stretch>
                    <a:fillRect/>
                  </a:stretch>
                </pic:blipFill>
                <pic:spPr>
                  <a:xfrm>
                    <a:off x="0" y="0"/>
                    <a:ext cx="7791450" cy="1200012"/>
                  </a:xfrm>
                  <a:prstGeom prst="rect">
                    <a:avLst/>
                  </a:prstGeom>
                  <a:ln/>
                </pic:spPr>
              </pic:pic>
            </a:graphicData>
          </a:graphic>
        </wp:anchor>
      </w:drawing>
    </w:r>
  </w:p>
  <w:p w14:paraId="52B59891" w14:textId="77777777" w:rsidR="00415DC4" w:rsidRPr="00D51B49" w:rsidRDefault="0006556A">
    <w:pPr>
      <w:rPr>
        <w:b/>
        <w:lang w:val="es-ES"/>
      </w:rPr>
    </w:pPr>
    <w:r>
      <w:rPr>
        <w:b/>
        <w:bCs/>
        <w:color w:val="3C1053"/>
        <w:sz w:val="30"/>
        <w:szCs w:val="30"/>
        <w:lang w:val="es-US"/>
      </w:rPr>
      <w:t>Actividades de la solicitud de subvención de la IDEA para el año fiscal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28"/>
    <w:multiLevelType w:val="multilevel"/>
    <w:tmpl w:val="9394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F1"/>
    <w:multiLevelType w:val="multilevel"/>
    <w:tmpl w:val="B354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D39EC"/>
    <w:multiLevelType w:val="multilevel"/>
    <w:tmpl w:val="A196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86698"/>
    <w:multiLevelType w:val="multilevel"/>
    <w:tmpl w:val="204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3E66"/>
    <w:multiLevelType w:val="multilevel"/>
    <w:tmpl w:val="1F22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D74B8"/>
    <w:multiLevelType w:val="multilevel"/>
    <w:tmpl w:val="F8A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DAF"/>
    <w:multiLevelType w:val="multilevel"/>
    <w:tmpl w:val="4F50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32EAD"/>
    <w:multiLevelType w:val="multilevel"/>
    <w:tmpl w:val="E0F0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C4EFD"/>
    <w:multiLevelType w:val="multilevel"/>
    <w:tmpl w:val="19A0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962FC"/>
    <w:multiLevelType w:val="multilevel"/>
    <w:tmpl w:val="661A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34A46"/>
    <w:multiLevelType w:val="multilevel"/>
    <w:tmpl w:val="3462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32D5"/>
    <w:multiLevelType w:val="multilevel"/>
    <w:tmpl w:val="99A8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52B8A"/>
    <w:multiLevelType w:val="multilevel"/>
    <w:tmpl w:val="16B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000208">
    <w:abstractNumId w:val="4"/>
  </w:num>
  <w:num w:numId="2" w16cid:durableId="1374384574">
    <w:abstractNumId w:val="6"/>
  </w:num>
  <w:num w:numId="3" w16cid:durableId="853955107">
    <w:abstractNumId w:val="7"/>
  </w:num>
  <w:num w:numId="4" w16cid:durableId="1060444528">
    <w:abstractNumId w:val="11"/>
  </w:num>
  <w:num w:numId="5" w16cid:durableId="1853031478">
    <w:abstractNumId w:val="10"/>
  </w:num>
  <w:num w:numId="6" w16cid:durableId="1207522634">
    <w:abstractNumId w:val="1"/>
  </w:num>
  <w:num w:numId="7" w16cid:durableId="1733121360">
    <w:abstractNumId w:val="5"/>
  </w:num>
  <w:num w:numId="8" w16cid:durableId="790199190">
    <w:abstractNumId w:val="3"/>
  </w:num>
  <w:num w:numId="9" w16cid:durableId="903564864">
    <w:abstractNumId w:val="9"/>
  </w:num>
  <w:num w:numId="10" w16cid:durableId="1054081484">
    <w:abstractNumId w:val="8"/>
  </w:num>
  <w:num w:numId="11" w16cid:durableId="1724477153">
    <w:abstractNumId w:val="12"/>
  </w:num>
  <w:num w:numId="12" w16cid:durableId="922254989">
    <w:abstractNumId w:val="0"/>
  </w:num>
  <w:num w:numId="13" w16cid:durableId="6715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C4"/>
    <w:rsid w:val="0006556A"/>
    <w:rsid w:val="0007144D"/>
    <w:rsid w:val="00415DC4"/>
    <w:rsid w:val="00663CE5"/>
    <w:rsid w:val="00D5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4356D"/>
  <w15:docId w15:val="{082018DE-2992-4D65-9BC5-F997ECF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Public Sans" w:hAnsi="Public Sans" w:cs="Public Sans"/>
        <w:color w:val="4E4E51"/>
        <w:sz w:val="22"/>
        <w:szCs w:val="22"/>
        <w:lang w:val="e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0"/>
      <w:ind w:left="-20"/>
      <w:outlineLvl w:val="0"/>
    </w:pPr>
    <w:rPr>
      <w:b/>
      <w:color w:val="3C1053"/>
      <w:sz w:val="48"/>
      <w:szCs w:val="48"/>
    </w:rPr>
  </w:style>
  <w:style w:type="paragraph" w:styleId="Heading2">
    <w:name w:val="heading 2"/>
    <w:basedOn w:val="Normal"/>
    <w:next w:val="Normal"/>
    <w:pPr>
      <w:keepNext/>
      <w:keepLines/>
      <w:spacing w:before="120" w:after="0"/>
      <w:outlineLvl w:val="1"/>
    </w:pPr>
    <w:rPr>
      <w:b/>
      <w:color w:val="017F92"/>
      <w:sz w:val="32"/>
      <w:szCs w:val="32"/>
    </w:rPr>
  </w:style>
  <w:style w:type="paragraph" w:styleId="Heading3">
    <w:name w:val="heading 3"/>
    <w:basedOn w:val="Normal"/>
    <w:next w:val="Normal"/>
    <w:pPr>
      <w:keepNext/>
      <w:keepLines/>
      <w:spacing w:before="200" w:after="0" w:line="240" w:lineRule="auto"/>
      <w:outlineLvl w:val="2"/>
    </w:pPr>
    <w:rPr>
      <w:b/>
      <w:sz w:val="24"/>
      <w:szCs w:val="24"/>
    </w:rPr>
  </w:style>
  <w:style w:type="paragraph" w:styleId="Heading4">
    <w:name w:val="heading 4"/>
    <w:basedOn w:val="Normal"/>
    <w:next w:val="Normal"/>
    <w:pPr>
      <w:keepNext/>
      <w:keepLines/>
      <w:spacing w:before="200" w:line="240" w:lineRule="auto"/>
      <w:outlineLvl w:val="3"/>
    </w:pPr>
    <w:rPr>
      <w:b/>
      <w:color w:val="4D4D4F"/>
      <w:sz w:val="20"/>
      <w:szCs w:val="20"/>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0" w:line="240" w:lineRule="auto"/>
    </w:pPr>
    <w:rPr>
      <w:b/>
      <w:color w:val="3C1053"/>
      <w:sz w:val="56"/>
      <w:szCs w:val="56"/>
    </w:rPr>
  </w:style>
  <w:style w:type="paragraph" w:styleId="Subtitle">
    <w:name w:val="Subtitle"/>
    <w:basedOn w:val="Normal"/>
    <w:next w:val="Normal"/>
    <w:pPr>
      <w:keepNext/>
      <w:keepLines/>
    </w:pPr>
    <w:rPr>
      <w:rFonts w:ascii="Public Sans Medium" w:eastAsia="Public Sans Medium" w:hAnsi="Public Sans Medium" w:cs="Public Sans Medium"/>
      <w:color w:val="3C10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doe.louisian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louisian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Mariana Stasi</cp:lastModifiedBy>
  <cp:revision>3</cp:revision>
  <dcterms:created xsi:type="dcterms:W3CDTF">2024-03-13T13:30:00Z</dcterms:created>
  <dcterms:modified xsi:type="dcterms:W3CDTF">2024-04-25T04:17:00Z</dcterms:modified>
</cp:coreProperties>
</file>