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5DC4" w:rsidRDefault="0006556A">
      <w:pPr>
        <w:spacing w:line="240" w:lineRule="auto"/>
        <w:rPr>
          <w:color w:val="4D4D4F"/>
        </w:rPr>
        <w:bidi w:val="0"/>
      </w:pPr>
      <w:r>
        <w:rPr>
          <w:lang w:eastAsia="zh-CN"/>
          <w:b w:val="0"/>
          <w:bCs w:val="0"/>
          <w:i w:val="0"/>
          <w:iCs w:val="0"/>
          <w:u w:val="none"/>
          <w:vertAlign w:val="baseline"/>
          <w:rtl w:val="0"/>
        </w:rPr>
        <w:pict w14:anchorId="07B25477">
          <v:rect id="_x0000_i1025" style="width:0;height:1.5pt" o:hralign="center" o:hrstd="t" o:hr="t" fillcolor="#a0a0a0" stroked="f"/>
        </w:pict>
      </w:r>
    </w:p>
    <w:p w:rsidR="00415DC4" w:rsidRDefault="0006556A">
      <w:pPr>
        <w:spacing w:after="0" w:line="240" w:lineRule="auto"/>
        <w:jc w:val="both"/>
        <w:bidi w:val="0"/>
      </w:pPr>
      <w:bookmarkStart w:id="1" w:name="_gjdgxs" w:colFirst="0" w:colLast="0"/>
      <w:bookmarkEnd w:id="1"/>
      <w:r>
        <w:rPr>
          <w:lang w:eastAsia="zh-CN"/>
          <w:b w:val="0"/>
          <w:bCs w:val="0"/>
          <w:i w:val="0"/>
          <w:iCs w:val="0"/>
          <w:u w:val="none"/>
          <w:vertAlign w:val="baseline"/>
          <w:rtl w:val="0"/>
        </w:rPr>
        <w:t xml:space="preserve">本文件概述了联邦2024财政年度（FFY 24）《残障人士教育法》（IDEA）拨款申请草案中预留资金的拨款申请类别、各类别中受支持的相应活动和拟定的各类别资金需求。本文件所概述的活动符合路易斯安那州的学生、教育工作者和家庭的需求，能支持路易斯安那州的重点工作和最佳实践，有助于为残障学生提供高质量、包容性的教育。  </w:t>
      </w:r>
    </w:p>
    <w:p w:rsidR="00415DC4" w:rsidRDefault="00415DC4">
      <w:pPr>
        <w:spacing w:after="0" w:line="240" w:lineRule="auto"/>
      </w:pPr>
      <w:bookmarkStart w:id="2" w:name="_bfjt4mqsxwqg" w:colFirst="0" w:colLast="0"/>
      <w:bookmarkEnd w:id="2"/>
    </w:p>
    <w:p w:rsidR="00415DC4" w:rsidRDefault="0006556A">
      <w:pPr>
        <w:spacing w:after="0" w:line="240" w:lineRule="auto"/>
        <w:bidi w:val="0"/>
      </w:pPr>
      <w:bookmarkStart w:id="3" w:name="_o9xzqm1tp0iy" w:colFirst="0" w:colLast="0"/>
      <w:bookmarkEnd w:id="3"/>
      <w:r>
        <w:rPr>
          <w:lang w:eastAsia="zh-CN"/>
          <w:b w:val="0"/>
          <w:bCs w:val="0"/>
          <w:i w:val="0"/>
          <w:iCs w:val="0"/>
          <w:u w:val="none"/>
          <w:vertAlign w:val="baseline"/>
          <w:rtl w:val="0"/>
        </w:rPr>
        <w:t xml:space="preserve">虽然路易斯安那州教育部（LDOE）尚未收到特殊教育计划办公室（OSEP）的拨款，但OSEP已指示各州按照2023财政年度申请的拨款金额（4,610,639美元用于行政管理，26,154,696美元用作预备资金）初步制定活动草案，并在收到2024财政年度拨款表后另行更新金额数目，以便使最终提交的申请与2024财政年度拨款总额保持一致。</w:t>
      </w:r>
    </w:p>
    <w:p w:rsidR="00415DC4" w:rsidRDefault="00415DC4">
      <w:pPr>
        <w:spacing w:line="240" w:lineRule="auto"/>
      </w:pPr>
    </w:p>
    <w:p w:rsidR="00415DC4" w:rsidRDefault="00415DC4">
      <w:pPr>
        <w:spacing w:after="0" w:line="240" w:lineRule="auto"/>
        <w:rPr>
          <w:rFonts w:ascii="Calibri" w:eastAsia="Calibri" w:hAnsi="Calibri" w:cs="Calibri"/>
          <w:color w:val="000000"/>
        </w:rPr>
      </w:pPr>
      <w:bookmarkStart w:id="4" w:name="_b4bffohujjm5" w:colFirst="0" w:colLast="0"/>
      <w:bookmarkEnd w:id="4"/>
    </w:p>
    <w:tbl>
      <w:tblPr>
        <w:tblStyle w:val="a"/>
        <w:tblW w:w="10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3600"/>
        <w:gridCol w:w="435"/>
        <w:gridCol w:w="2445"/>
      </w:tblGrid>
      <w:tr w:rsidR="00415DC4">
        <w:tc>
          <w:tcPr>
            <w:tcW w:w="3930" w:type="dxa"/>
            <w:shd w:val="clear" w:color="auto" w:fill="017F92"/>
            <w:tcMar>
              <w:top w:w="100" w:type="dxa"/>
              <w:left w:w="100" w:type="dxa"/>
              <w:bottom w:w="100" w:type="dxa"/>
              <w:right w:w="100" w:type="dxa"/>
            </w:tcMar>
          </w:tcPr>
          <w:p w:rsidR="00415DC4" w:rsidRDefault="0006556A">
            <w:pPr>
              <w:pBdr>
                <w:top w:val="nil"/>
                <w:left w:val="nil"/>
                <w:bottom w:val="nil"/>
                <w:right w:val="nil"/>
                <w:between w:val="nil"/>
              </w:pBdr>
              <w:spacing w:after="0" w:line="240" w:lineRule="auto"/>
              <w:ind w:left="140"/>
              <w:rPr>
                <w:color w:val="FFFFFF"/>
              </w:rPr>
              <w:bidi w:val="0"/>
            </w:pPr>
            <w:r>
              <w:rPr>
                <w:color w:val="FFFFFF"/>
                <w:lang w:eastAsia="zh-CN"/>
                <w:b w:val="1"/>
                <w:bCs w:val="1"/>
                <w:i w:val="0"/>
                <w:iCs w:val="0"/>
                <w:u w:val="none"/>
                <w:vertAlign w:val="baseline"/>
                <w:rtl w:val="0"/>
              </w:rPr>
              <w:t xml:space="preserve">其他州级活动</w:t>
            </w:r>
          </w:p>
        </w:tc>
        <w:tc>
          <w:tcPr>
            <w:tcW w:w="3600" w:type="dxa"/>
            <w:shd w:val="clear" w:color="auto" w:fill="017F92"/>
            <w:tcMar>
              <w:top w:w="100" w:type="dxa"/>
              <w:left w:w="100" w:type="dxa"/>
              <w:bottom w:w="100" w:type="dxa"/>
              <w:right w:w="100" w:type="dxa"/>
            </w:tcMar>
          </w:tcPr>
          <w:p w:rsidR="00415DC4" w:rsidRDefault="0006556A">
            <w:pPr>
              <w:pBdr>
                <w:top w:val="nil"/>
                <w:left w:val="nil"/>
                <w:bottom w:val="nil"/>
                <w:right w:val="nil"/>
                <w:between w:val="nil"/>
              </w:pBdr>
              <w:spacing w:after="0" w:line="240" w:lineRule="auto"/>
              <w:ind w:left="140"/>
              <w:rPr>
                <w:color w:val="FFFFFF"/>
              </w:rPr>
              <w:bidi w:val="0"/>
            </w:pPr>
            <w:r>
              <w:rPr>
                <w:color w:val="FFFFFF"/>
                <w:lang w:eastAsia="zh-CN"/>
                <w:b w:val="1"/>
                <w:bCs w:val="1"/>
                <w:i w:val="0"/>
                <w:iCs w:val="0"/>
                <w:u w:val="none"/>
                <w:vertAlign w:val="baseline"/>
                <w:rtl w:val="0"/>
              </w:rPr>
              <w:t xml:space="preserve">活动和说明</w:t>
            </w:r>
          </w:p>
        </w:tc>
        <w:tc>
          <w:tcPr>
            <w:tcW w:w="435" w:type="dxa"/>
            <w:shd w:val="clear" w:color="auto" w:fill="017F92"/>
            <w:tcMar>
              <w:top w:w="100" w:type="dxa"/>
              <w:left w:w="100" w:type="dxa"/>
              <w:bottom w:w="100" w:type="dxa"/>
              <w:right w:w="100" w:type="dxa"/>
            </w:tcMar>
          </w:tcPr>
          <w:p w:rsidR="00415DC4" w:rsidRDefault="00415DC4">
            <w:pPr>
              <w:pBdr>
                <w:top w:val="nil"/>
                <w:left w:val="nil"/>
                <w:bottom w:val="nil"/>
                <w:right w:val="nil"/>
                <w:between w:val="nil"/>
              </w:pBdr>
              <w:spacing w:after="0" w:line="240" w:lineRule="auto"/>
              <w:ind w:left="140"/>
              <w:rPr>
                <w:color w:val="FFFFFF"/>
              </w:rPr>
            </w:pPr>
          </w:p>
        </w:tc>
        <w:tc>
          <w:tcPr>
            <w:tcW w:w="2445" w:type="dxa"/>
            <w:shd w:val="clear" w:color="auto" w:fill="017F92"/>
            <w:tcMar>
              <w:top w:w="100" w:type="dxa"/>
              <w:left w:w="100" w:type="dxa"/>
              <w:bottom w:w="100" w:type="dxa"/>
              <w:right w:w="100" w:type="dxa"/>
            </w:tcMar>
          </w:tcPr>
          <w:p w:rsidR="00415DC4" w:rsidRDefault="0006556A">
            <w:pPr>
              <w:pBdr>
                <w:top w:val="nil"/>
                <w:left w:val="nil"/>
                <w:bottom w:val="nil"/>
                <w:right w:val="nil"/>
                <w:between w:val="nil"/>
              </w:pBdr>
              <w:spacing w:after="0" w:line="240" w:lineRule="auto"/>
              <w:ind w:left="140"/>
              <w:rPr>
                <w:color w:val="FFFFFF"/>
              </w:rPr>
              <w:bidi w:val="0"/>
            </w:pPr>
            <w:r>
              <w:rPr>
                <w:color w:val="FFFFFF"/>
                <w:lang w:eastAsia="zh-CN"/>
                <w:b w:val="1"/>
                <w:bCs w:val="1"/>
                <w:i w:val="0"/>
                <w:iCs w:val="0"/>
                <w:u w:val="none"/>
                <w:vertAlign w:val="baseline"/>
                <w:rtl w:val="0"/>
              </w:rPr>
              <w:t xml:space="preserve">金额</w:t>
            </w:r>
            <w:r>
              <w:rPr>
                <w:color w:val="FFFFFF"/>
                <w:lang w:eastAsia="zh-CN"/>
                <w:b w:val="0"/>
                <w:bCs w:val="0"/>
                <w:i w:val="0"/>
                <w:iCs w:val="0"/>
                <w:u w:val="none"/>
                <w:vertAlign w:val="baseline"/>
                <w:rtl w:val="0"/>
              </w:rPr>
              <w:t xml:space="preserve"> </w:t>
            </w:r>
          </w:p>
        </w:tc>
      </w:tr>
      <w:tr w:rsidR="00415DC4">
        <w:tc>
          <w:tcPr>
            <w:tcW w:w="3930" w:type="dxa"/>
            <w:tcBorders>
              <w:bottom w:val="single" w:sz="6" w:space="0" w:color="000000"/>
            </w:tcBorders>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CN"/>
                <w:b w:val="0"/>
                <w:bCs w:val="0"/>
                <w:i w:val="0"/>
                <w:iCs w:val="0"/>
                <w:u w:val="none"/>
                <w:vertAlign w:val="baseline"/>
                <w:rtl w:val="0"/>
              </w:rPr>
              <w:t xml:space="preserve">根据《美国法典》</w:t>
            </w:r>
          </w:p>
          <w:p w:rsidR="00415DC4" w:rsidRDefault="0006556A">
            <w:pPr>
              <w:widowControl w:val="0"/>
              <w:spacing w:after="0" w:line="240" w:lineRule="auto"/>
              <w:rPr>
                <w:color w:val="4D4D4F"/>
              </w:rPr>
              <w:bidi w:val="0"/>
            </w:pPr>
            <w:r>
              <w:rPr>
                <w:color w:val="4D4D4F"/>
                <w:lang w:eastAsia="zh-CN"/>
                <w:b w:val="0"/>
                <w:bCs w:val="0"/>
                <w:i w:val="0"/>
                <w:iCs w:val="0"/>
                <w:u w:val="none"/>
                <w:vertAlign w:val="baseline"/>
                <w:rtl w:val="0"/>
              </w:rPr>
              <w:t xml:space="preserve">第20编第1411(e)(2)(A)条</w:t>
            </w:r>
          </w:p>
          <w:p w:rsidR="00415DC4" w:rsidRDefault="0006556A">
            <w:pPr>
              <w:widowControl w:val="0"/>
              <w:spacing w:after="0" w:line="240" w:lineRule="auto"/>
              <w:rPr>
                <w:color w:val="4D4D4F"/>
              </w:rPr>
              <w:bidi w:val="0"/>
            </w:pPr>
            <w:r>
              <w:rPr>
                <w:color w:val="4D4D4F"/>
                <w:lang w:eastAsia="zh-CN"/>
                <w:b w:val="0"/>
                <w:bCs w:val="0"/>
                <w:i w:val="0"/>
                <w:iCs w:val="0"/>
                <w:u w:val="none"/>
                <w:vertAlign w:val="baseline"/>
                <w:rtl w:val="0"/>
              </w:rPr>
              <w:t xml:space="preserve">和《联邦法规》第34编第300.704条所预留的</w:t>
            </w:r>
          </w:p>
          <w:p w:rsidR="00415DC4" w:rsidRDefault="0006556A">
            <w:pPr>
              <w:widowControl w:val="0"/>
              <w:spacing w:after="0" w:line="240" w:lineRule="auto"/>
              <w:rPr>
                <w:rFonts w:ascii="Calibri" w:eastAsia="Calibri" w:hAnsi="Calibri" w:cs="Calibri"/>
                <w:color w:val="000000"/>
              </w:rPr>
              <w:bidi w:val="0"/>
            </w:pPr>
            <w:r>
              <w:rPr>
                <w:color w:val="4D4D4F"/>
                <w:lang w:eastAsia="zh-CN"/>
                <w:b w:val="0"/>
                <w:bCs w:val="0"/>
                <w:i w:val="0"/>
                <w:iCs w:val="0"/>
                <w:u w:val="none"/>
                <w:vertAlign w:val="baseline"/>
                <w:rtl w:val="0"/>
              </w:rPr>
              <w:t xml:space="preserve">必要活动资金应用于开展以下活动：</w:t>
            </w:r>
          </w:p>
        </w:tc>
        <w:tc>
          <w:tcPr>
            <w:tcW w:w="3600" w:type="dxa"/>
            <w:tcBorders>
              <w:bottom w:val="single" w:sz="6" w:space="0" w:color="000000"/>
            </w:tcBorders>
            <w:shd w:val="clear" w:color="auto" w:fill="CCCCCC"/>
            <w:tcMar>
              <w:top w:w="100" w:type="dxa"/>
              <w:left w:w="100" w:type="dxa"/>
              <w:bottom w:w="100" w:type="dxa"/>
              <w:right w:w="100" w:type="dxa"/>
            </w:tcMar>
          </w:tcPr>
          <w:p w:rsidR="00415DC4" w:rsidRDefault="00415DC4">
            <w:pPr>
              <w:widowControl w:val="0"/>
              <w:spacing w:after="0" w:line="240" w:lineRule="auto"/>
              <w:rPr>
                <w:rFonts w:ascii="Calibri" w:eastAsia="Calibri" w:hAnsi="Calibri" w:cs="Calibri"/>
                <w:color w:val="000000"/>
              </w:rPr>
            </w:pPr>
          </w:p>
        </w:tc>
        <w:tc>
          <w:tcPr>
            <w:tcW w:w="435" w:type="dxa"/>
            <w:tcBorders>
              <w:bottom w:val="single" w:sz="6" w:space="0" w:color="000000"/>
            </w:tcBorders>
            <w:shd w:val="clear" w:color="auto" w:fill="CCCCCC"/>
            <w:tcMar>
              <w:top w:w="100" w:type="dxa"/>
              <w:left w:w="100" w:type="dxa"/>
              <w:bottom w:w="100" w:type="dxa"/>
              <w:right w:w="100" w:type="dxa"/>
            </w:tcMar>
          </w:tcPr>
          <w:p w:rsidR="00415DC4" w:rsidRDefault="00415DC4">
            <w:pPr>
              <w:widowControl w:val="0"/>
              <w:spacing w:after="0" w:line="240" w:lineRule="auto"/>
              <w:rPr>
                <w:rFonts w:ascii="Calibri" w:eastAsia="Calibri" w:hAnsi="Calibri" w:cs="Calibri"/>
                <w:color w:val="000000"/>
              </w:rPr>
            </w:pPr>
          </w:p>
        </w:tc>
        <w:tc>
          <w:tcPr>
            <w:tcW w:w="2445" w:type="dxa"/>
            <w:tcBorders>
              <w:bottom w:val="single" w:sz="6" w:space="0" w:color="000000"/>
            </w:tcBorders>
            <w:shd w:val="clear" w:color="auto" w:fill="CCCCCC"/>
            <w:tcMar>
              <w:top w:w="100" w:type="dxa"/>
              <w:left w:w="100" w:type="dxa"/>
              <w:bottom w:w="100" w:type="dxa"/>
              <w:right w:w="100" w:type="dxa"/>
            </w:tcMar>
          </w:tcPr>
          <w:p w:rsidR="00415DC4" w:rsidRDefault="00415DC4">
            <w:pPr>
              <w:widowControl w:val="0"/>
              <w:spacing w:after="0" w:line="240" w:lineRule="auto"/>
              <w:jc w:val="right"/>
              <w:rPr>
                <w:rFonts w:ascii="Calibri" w:eastAsia="Calibri" w:hAnsi="Calibri" w:cs="Calibri"/>
                <w:color w:val="000000"/>
              </w:rPr>
            </w:pPr>
          </w:p>
        </w:tc>
      </w:tr>
      <w:tr w:rsidR="00415DC4">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用于监督、执法和投诉调查。</w:t>
            </w:r>
          </w:p>
        </w:tc>
        <w:tc>
          <w:tcPr>
            <w:tcW w:w="3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numPr>
                <w:ilvl w:val="0"/>
                <w:numId w:val="8"/>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全州监督</w:t>
            </w:r>
          </w:p>
          <w:p w:rsidR="00415DC4" w:rsidRDefault="0006556A">
            <w:pPr>
              <w:widowControl w:val="0"/>
              <w:numPr>
                <w:ilvl w:val="0"/>
                <w:numId w:val="8"/>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投诉调查</w:t>
            </w:r>
          </w:p>
          <w:p w:rsidR="00415DC4" w:rsidRDefault="0006556A">
            <w:pPr>
              <w:widowControl w:val="0"/>
              <w:numPr>
                <w:ilvl w:val="0"/>
                <w:numId w:val="8"/>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特别主事官</w:t>
            </w:r>
          </w:p>
        </w:tc>
        <w:tc>
          <w:tcPr>
            <w:tcW w:w="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h.</w:t>
            </w:r>
          </w:p>
        </w:tc>
        <w:tc>
          <w:tcPr>
            <w:tcW w:w="24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$793,168</w:t>
            </w:r>
          </w:p>
        </w:tc>
      </w:tr>
      <w:tr w:rsidR="00415DC4">
        <w:tc>
          <w:tcPr>
            <w:tcW w:w="3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启动并实施根据《美国法典》第20编第1415I条和《联邦法规》第34编第300.704条所规定的调解程序，包括支付调解员和辅助人员费用。</w:t>
            </w:r>
          </w:p>
        </w:tc>
        <w:tc>
          <w:tcPr>
            <w:tcW w:w="3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15DC4" w:rsidRDefault="0006556A">
            <w:pPr>
              <w:widowControl w:val="0"/>
              <w:numPr>
                <w:ilvl w:val="0"/>
                <w:numId w:val="3"/>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州调解员</w:t>
            </w:r>
          </w:p>
          <w:p w:rsidR="00415DC4" w:rsidRDefault="0006556A">
            <w:pPr>
              <w:widowControl w:val="0"/>
              <w:numPr>
                <w:ilvl w:val="0"/>
                <w:numId w:val="3"/>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IEP协调员</w:t>
            </w:r>
          </w:p>
        </w:tc>
        <w:tc>
          <w:tcPr>
            <w:tcW w:w="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i.</w:t>
            </w:r>
          </w:p>
        </w:tc>
        <w:tc>
          <w:tcPr>
            <w:tcW w:w="24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$350,000</w:t>
            </w:r>
          </w:p>
        </w:tc>
      </w:tr>
      <w:tr w:rsidR="00415DC4">
        <w:trPr>
          <w:trHeight w:val="1290"/>
        </w:trPr>
        <w:tc>
          <w:tcPr>
            <w:tcW w:w="3930" w:type="dxa"/>
            <w:tcBorders>
              <w:top w:val="single" w:sz="6" w:space="0" w:color="000000"/>
            </w:tcBorders>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根据《美国法典》第20编第1411(e)(2)(A)条和《联邦法规》第34编第300.704条所预留的特定授权活动资金可用于开展以下活动：</w:t>
            </w:r>
          </w:p>
        </w:tc>
        <w:tc>
          <w:tcPr>
            <w:tcW w:w="3600" w:type="dxa"/>
            <w:tcBorders>
              <w:top w:val="single" w:sz="6" w:space="0" w:color="000000"/>
            </w:tcBorders>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435" w:type="dxa"/>
            <w:tcBorders>
              <w:top w:val="single" w:sz="6" w:space="0" w:color="000000"/>
            </w:tcBorders>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2445" w:type="dxa"/>
            <w:tcBorders>
              <w:top w:val="single" w:sz="6" w:space="0" w:color="000000"/>
            </w:tcBorders>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提供支持服务和直接服务，包括技术援助、人员配备、专业能力发展和培训。</w:t>
            </w:r>
          </w:p>
        </w:tc>
        <w:tc>
          <w:tcPr>
            <w:tcW w:w="3600" w:type="dxa"/>
            <w:tcMar>
              <w:top w:w="100" w:type="dxa"/>
              <w:left w:w="100" w:type="dxa"/>
              <w:bottom w:w="100" w:type="dxa"/>
              <w:right w:w="100" w:type="dxa"/>
            </w:tcMar>
          </w:tcPr>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为在职教育工作者提供教师领导岗位咨询和培训机会，重点关注特殊教育</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口译服务</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为残障学生家庭提供地区技术援助 </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为残障学生家庭提供基于网络的支持</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为家庭和社区成员提供工具和资源，以便其了解特殊教育的重要组成部分，如家长调查问卷</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建立技术援助和专业能力发展合作伙伴关系，为残障学生接受专业辅导及相关服务提供支持</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观察K-2班级并给出反馈，以支持高质量服务</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为特殊教育工作者、学生评估和相关服务提供者提供专业能力发展机会</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在教师领导峰会（Teacher Leader Summit）上，提高为残障学生提供支持的行政人员、教育工作者和辅助人员的能力</w:t>
            </w:r>
          </w:p>
          <w:p w:rsidR="00415DC4" w:rsidRDefault="0006556A">
            <w:pPr>
              <w:widowControl w:val="0"/>
              <w:numPr>
                <w:ilvl w:val="0"/>
                <w:numId w:val="13"/>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为行政人员和教育工作者提供包容性的中学经验支持和CTE经验支持</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j.</w:t>
            </w:r>
          </w:p>
        </w:tc>
        <w:tc>
          <w:tcPr>
            <w:tcW w:w="244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$1,910,258</w:t>
            </w:r>
          </w:p>
          <w:p w:rsidR="00415DC4" w:rsidRDefault="00415DC4">
            <w:pPr>
              <w:widowControl w:val="0"/>
              <w:pBdr>
                <w:top w:val="nil"/>
                <w:left w:val="nil"/>
                <w:bottom w:val="nil"/>
                <w:right w:val="nil"/>
                <w:between w:val="nil"/>
              </w:pBdr>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协助地方教育机构为残障儿童提供积极的行为干预和支持以及适宜的心理健康服务。</w:t>
            </w:r>
          </w:p>
        </w:tc>
        <w:tc>
          <w:tcPr>
            <w:tcW w:w="3600" w:type="dxa"/>
            <w:tcMar>
              <w:top w:w="100" w:type="dxa"/>
              <w:left w:w="100" w:type="dxa"/>
              <w:bottom w:w="100" w:type="dxa"/>
              <w:right w:w="100" w:type="dxa"/>
            </w:tcMar>
          </w:tcPr>
          <w:p w:rsidR="00415DC4" w:rsidRDefault="0006556A">
            <w:pPr>
              <w:widowControl w:val="0"/>
              <w:numPr>
                <w:ilvl w:val="0"/>
                <w:numId w:val="4"/>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实施循证行为干预、支持和策略。</w:t>
            </w:r>
          </w:p>
          <w:p w:rsidR="00415DC4" w:rsidRDefault="0006556A">
            <w:pPr>
              <w:widowControl w:val="0"/>
              <w:numPr>
                <w:ilvl w:val="0"/>
                <w:numId w:val="4"/>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为教育工作者提供指导和专业能力发展机会，以支持学生的行为/心理健康需求</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k.</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$475,000</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协助地方教育机构解决人员短缺问题。</w:t>
            </w:r>
          </w:p>
        </w:tc>
        <w:tc>
          <w:tcPr>
            <w:tcW w:w="3600" w:type="dxa"/>
            <w:shd w:val="clear" w:color="auto" w:fill="auto"/>
            <w:tcMar>
              <w:top w:w="100" w:type="dxa"/>
              <w:left w:w="100" w:type="dxa"/>
              <w:bottom w:w="100" w:type="dxa"/>
              <w:right w:w="100" w:type="dxa"/>
            </w:tcMar>
          </w:tcPr>
          <w:p w:rsidR="00415DC4" w:rsidRDefault="0006556A">
            <w:pPr>
              <w:widowControl w:val="0"/>
              <w:numPr>
                <w:ilvl w:val="0"/>
                <w:numId w:val="5"/>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在人员短缺的领域，以创新的方式将地方教育机构（LEA）与相关服务提供者联系起来</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l.</w:t>
            </w:r>
          </w:p>
        </w:tc>
        <w:tc>
          <w:tcPr>
            <w:tcW w:w="244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$800,000</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支持能力建设活动，提高地方教育机构提供服务的水平，从而提高残障儿童的学业成绩。</w:t>
            </w:r>
          </w:p>
        </w:tc>
        <w:tc>
          <w:tcPr>
            <w:tcW w:w="3600" w:type="dxa"/>
            <w:tcMar>
              <w:top w:w="100" w:type="dxa"/>
              <w:left w:w="100" w:type="dxa"/>
              <w:bottom w:w="100" w:type="dxa"/>
              <w:right w:w="100" w:type="dxa"/>
            </w:tcMar>
          </w:tcPr>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为地方教育机构提供区域支持和技术援助</w:t>
            </w:r>
          </w:p>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为教师提供指导和专业能力发展支持，以便其帮助自闭症学生 </w:t>
            </w:r>
          </w:p>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为教师提供指导和专业能力发展支持，以便其帮助有复杂医疗需求的学生</w:t>
            </w:r>
          </w:p>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提供服务以提高教育工作者制定和实施个别化教育计划以及运用数据支持课堂教学的能力；特殊教育报告</w:t>
            </w:r>
          </w:p>
          <w:p w:rsidR="00415DC4" w:rsidRDefault="0006556A">
            <w:pPr>
              <w:widowControl w:val="0"/>
              <w:numPr>
                <w:ilvl w:val="0"/>
                <w:numId w:val="7"/>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建立技术援助和专业能力发展合作伙伴关系，以提高特殊教育领导能力，为残障学生提供专业指导及相关服务</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m.</w:t>
            </w:r>
          </w:p>
        </w:tc>
        <w:tc>
          <w:tcPr>
            <w:tcW w:w="244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$4,536,912</w:t>
            </w:r>
          </w:p>
          <w:p w:rsidR="00415DC4" w:rsidRDefault="00415DC4">
            <w:pPr>
              <w:widowControl w:val="0"/>
              <w:pBdr>
                <w:top w:val="nil"/>
                <w:left w:val="nil"/>
                <w:bottom w:val="nil"/>
                <w:right w:val="nil"/>
                <w:between w:val="nil"/>
              </w:pBdr>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支持文书工作减负活动，包括扩大IEP过程中的技术使用范围。</w:t>
            </w:r>
          </w:p>
        </w:tc>
        <w:tc>
          <w:tcPr>
            <w:tcW w:w="3600" w:type="dxa"/>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n.</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$0</w:t>
            </w:r>
          </w:p>
          <w:p w:rsidR="00415DC4" w:rsidRDefault="00415DC4">
            <w:pPr>
              <w:widowControl w:val="0"/>
              <w:pBdr>
                <w:top w:val="nil"/>
                <w:left w:val="nil"/>
                <w:bottom w:val="nil"/>
                <w:right w:val="nil"/>
                <w:between w:val="nil"/>
              </w:pBdr>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提高残障儿童在课堂上的技术运用水平，以增强学习效果。</w:t>
            </w:r>
          </w:p>
        </w:tc>
        <w:tc>
          <w:tcPr>
            <w:tcW w:w="3600" w:type="dxa"/>
            <w:tcMar>
              <w:top w:w="100" w:type="dxa"/>
              <w:left w:w="100" w:type="dxa"/>
              <w:bottom w:w="100" w:type="dxa"/>
              <w:right w:w="100" w:type="dxa"/>
            </w:tcMar>
          </w:tcPr>
          <w:p w:rsidR="00415DC4" w:rsidRDefault="0006556A">
            <w:pPr>
              <w:widowControl w:val="0"/>
              <w:numPr>
                <w:ilvl w:val="0"/>
                <w:numId w:val="2"/>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提供技术运用方面的培训和资源，以满足个人学习需求</w:t>
            </w:r>
          </w:p>
          <w:p w:rsidR="00415DC4" w:rsidRDefault="0006556A">
            <w:pPr>
              <w:widowControl w:val="0"/>
              <w:numPr>
                <w:ilvl w:val="0"/>
                <w:numId w:val="2"/>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无障碍教育资料</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o.</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$600,000</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支持学生使用技术，包括符合通用设计原则的技术和辅助技术设备，以便最大限度地帮助残障儿童学习普通教育课程。</w:t>
            </w:r>
          </w:p>
        </w:tc>
        <w:tc>
          <w:tcPr>
            <w:tcW w:w="3600" w:type="dxa"/>
            <w:tcMar>
              <w:top w:w="100" w:type="dxa"/>
              <w:left w:w="100" w:type="dxa"/>
              <w:bottom w:w="100" w:type="dxa"/>
              <w:right w:w="100" w:type="dxa"/>
            </w:tcMar>
          </w:tcPr>
          <w:p w:rsidR="00415DC4" w:rsidRDefault="0006556A">
            <w:pPr>
              <w:widowControl w:val="0"/>
              <w:numPr>
                <w:ilvl w:val="0"/>
                <w:numId w:val="9"/>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提供技术运用方面的培训和资源，以支持差异化课堂教学</w:t>
            </w:r>
          </w:p>
          <w:p w:rsidR="00415DC4" w:rsidRDefault="0006556A">
            <w:pPr>
              <w:widowControl w:val="0"/>
              <w:numPr>
                <w:ilvl w:val="0"/>
                <w:numId w:val="9"/>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无障碍教育资料</w:t>
            </w:r>
          </w:p>
          <w:p w:rsidR="00415DC4" w:rsidRDefault="0006556A">
            <w:pPr>
              <w:widowControl w:val="0"/>
              <w:numPr>
                <w:ilvl w:val="0"/>
                <w:numId w:val="9"/>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支持更新视力障碍资格标准</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p.</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$500,000</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制定并实施过渡计划，包括与支持残障儿童向中学后活动过渡的相关机构就服务事宜进行协商。</w:t>
            </w:r>
          </w:p>
        </w:tc>
        <w:tc>
          <w:tcPr>
            <w:tcW w:w="3600" w:type="dxa"/>
            <w:tcMar>
              <w:top w:w="100" w:type="dxa"/>
              <w:left w:w="100" w:type="dxa"/>
              <w:bottom w:w="100" w:type="dxa"/>
              <w:right w:w="100" w:type="dxa"/>
            </w:tcMar>
          </w:tcPr>
          <w:p w:rsidR="00415DC4" w:rsidRDefault="0006556A">
            <w:pPr>
              <w:widowControl w:val="0"/>
              <w:numPr>
                <w:ilvl w:val="0"/>
                <w:numId w:val="11"/>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随着残障学生从初中升入高中，支持其培养领导能力并做好职业准备</w:t>
            </w:r>
          </w:p>
          <w:p w:rsidR="00415DC4" w:rsidRDefault="0006556A">
            <w:pPr>
              <w:widowControl w:val="0"/>
              <w:numPr>
                <w:ilvl w:val="0"/>
                <w:numId w:val="11"/>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通过合作为残障学生提供青年领袖论坛（Youth Leadership Forum）</w:t>
            </w:r>
          </w:p>
          <w:p w:rsidR="00415DC4" w:rsidRDefault="0006556A">
            <w:pPr>
              <w:widowControl w:val="0"/>
              <w:numPr>
                <w:ilvl w:val="0"/>
                <w:numId w:val="11"/>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为家庭和社区成员提供在线工具和资源，以便其了解特殊教育的重要组成部分</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q. </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$1,843,308</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为被学校开除的残障儿童提供替代性计划，为惩教机构中的残障儿童、就读于州立学校或州资助学校的儿童和特许学校中的残障儿童提供服务。</w:t>
            </w:r>
          </w:p>
        </w:tc>
        <w:tc>
          <w:tcPr>
            <w:tcW w:w="3600" w:type="dxa"/>
            <w:tcMar>
              <w:top w:w="100" w:type="dxa"/>
              <w:left w:w="100" w:type="dxa"/>
              <w:bottom w:w="100" w:type="dxa"/>
              <w:right w:w="100" w:type="dxa"/>
            </w:tcMar>
          </w:tcPr>
          <w:p w:rsidR="00415DC4" w:rsidRDefault="0006556A">
            <w:pPr>
              <w:widowControl w:val="0"/>
              <w:numPr>
                <w:ilvl w:val="0"/>
                <w:numId w:val="10"/>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为州立学校中参与替代性计划的学生提供行为支持</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r.</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$80,000</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根据1965年《初中等教育法》（ESEA）第1111(b)条和第1201条规定，支持为残障儿童制定并提供适当的适应性调整，或制定并提供有效可靠的替代性评估以评估残障儿童的表现。</w:t>
            </w:r>
          </w:p>
        </w:tc>
        <w:tc>
          <w:tcPr>
            <w:tcW w:w="3600" w:type="dxa"/>
            <w:tcMar>
              <w:top w:w="100" w:type="dxa"/>
              <w:left w:w="100" w:type="dxa"/>
              <w:bottom w:w="100" w:type="dxa"/>
              <w:right w:w="100" w:type="dxa"/>
            </w:tcMar>
          </w:tcPr>
          <w:p w:rsidR="00415DC4" w:rsidRDefault="0006556A">
            <w:pPr>
              <w:widowControl w:val="0"/>
              <w:numPr>
                <w:ilvl w:val="0"/>
                <w:numId w:val="1"/>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评估适应性调整：为在常规州级评估中提供适应性调整提供资金</w:t>
            </w:r>
          </w:p>
          <w:p w:rsidR="00415DC4" w:rsidRDefault="0006556A">
            <w:pPr>
              <w:widowControl w:val="0"/>
              <w:numPr>
                <w:ilvl w:val="0"/>
                <w:numId w:val="1"/>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替代性评估：为制定和提供替代性评估提供资金</w:t>
            </w:r>
          </w:p>
        </w:tc>
        <w:tc>
          <w:tcPr>
            <w:tcW w:w="43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s.</w:t>
            </w:r>
          </w:p>
        </w:tc>
        <w:tc>
          <w:tcPr>
            <w:tcW w:w="2445" w:type="dxa"/>
            <w:shd w:val="clear" w:color="auto" w:fill="auto"/>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$8,000,324</w:t>
            </w:r>
          </w:p>
        </w:tc>
      </w:tr>
      <w:tr w:rsidR="00415DC4">
        <w:tc>
          <w:tcPr>
            <w:tcW w:w="3930"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CN"/>
                <w:b w:val="0"/>
                <w:bCs w:val="0"/>
                <w:i w:val="0"/>
                <w:iCs w:val="0"/>
                <w:u w:val="none"/>
                <w:vertAlign w:val="baseline"/>
                <w:rtl w:val="0"/>
              </w:rPr>
              <w:t xml:space="preserve">根据部分残障儿童持续表现不佳的情况，为学校和地方教育机构提供技术援助，为依照ESEA第1111(d)条规定提供全面支持并开展改进活动或提供针对性支持并开展改进活动的学校或地方教育机构提供直接服务，包括ESEA第1003A(c)(3)条所述的为残障儿童提供的直接学生服务，包括为残障儿童的特殊教育教师和普通教育教师提供专业能力发展机会，让其在科学研究的基础上，改进教育教学，从而依照ESEA第1111(b)(1)条所述具有挑战性的学术标准，提高儿童的学业成绩。</w:t>
            </w:r>
          </w:p>
        </w:tc>
        <w:tc>
          <w:tcPr>
            <w:tcW w:w="3600" w:type="dxa"/>
            <w:tcMar>
              <w:top w:w="100" w:type="dxa"/>
              <w:left w:w="100" w:type="dxa"/>
              <w:bottom w:w="100" w:type="dxa"/>
              <w:right w:w="100" w:type="dxa"/>
            </w:tcMar>
          </w:tcPr>
          <w:p w:rsidR="00415DC4" w:rsidRDefault="0006556A">
            <w:pPr>
              <w:widowControl w:val="0"/>
              <w:numPr>
                <w:ilvl w:val="0"/>
                <w:numId w:val="6"/>
              </w:numPr>
              <w:spacing w:after="0" w:line="240" w:lineRule="auto"/>
              <w:rPr>
                <w:rFonts w:ascii="Calibri" w:eastAsia="Calibri" w:hAnsi="Calibri" w:cs="Calibri"/>
                <w:color w:val="000000"/>
              </w:rPr>
              <w:bidi w:val="0"/>
            </w:pPr>
            <w:r>
              <w:rPr>
                <w:color w:val="4D4D4F"/>
                <w:lang w:eastAsia="zh-CN"/>
                <w:b w:val="0"/>
                <w:bCs w:val="0"/>
                <w:i w:val="0"/>
                <w:iCs w:val="0"/>
                <w:u w:val="none"/>
                <w:vertAlign w:val="baseline"/>
                <w:rtl w:val="0"/>
              </w:rPr>
              <w:t xml:space="preserve">对于部分因残障学生的表现持续性不佳而被认定为需要紧急干预的学校，支持其针对残障学生重新设计计划</w:t>
            </w:r>
          </w:p>
        </w:tc>
        <w:tc>
          <w:tcPr>
            <w:tcW w:w="435"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CN"/>
                <w:b w:val="0"/>
                <w:bCs w:val="0"/>
                <w:i w:val="0"/>
                <w:iCs w:val="0"/>
                <w:u w:val="none"/>
                <w:vertAlign w:val="baseline"/>
                <w:rtl w:val="0"/>
              </w:rPr>
              <w:t xml:space="preserve">t.</w:t>
            </w:r>
          </w:p>
        </w:tc>
        <w:tc>
          <w:tcPr>
            <w:tcW w:w="2445" w:type="dxa"/>
            <w:tcMar>
              <w:top w:w="100" w:type="dxa"/>
              <w:left w:w="100" w:type="dxa"/>
              <w:bottom w:w="100" w:type="dxa"/>
              <w:right w:w="100" w:type="dxa"/>
            </w:tcMar>
          </w:tcPr>
          <w:p w:rsidR="00415DC4" w:rsidRDefault="0006556A">
            <w:pPr>
              <w:widowControl w:val="0"/>
              <w:spacing w:after="0" w:line="240" w:lineRule="auto"/>
              <w:jc w:val="right"/>
              <w:rPr>
                <w:color w:val="4D4D4F"/>
              </w:rPr>
              <w:bidi w:val="0"/>
            </w:pPr>
            <w:r>
              <w:rPr>
                <w:color w:val="4D4D4F"/>
                <w:lang w:eastAsia="zh-CN"/>
                <w:b w:val="0"/>
                <w:bCs w:val="0"/>
                <w:i w:val="0"/>
                <w:iCs w:val="0"/>
                <w:u w:val="none"/>
                <w:vertAlign w:val="baseline"/>
                <w:rtl w:val="0"/>
              </w:rPr>
              <w:t xml:space="preserve">$1,865,726</w:t>
            </w:r>
          </w:p>
        </w:tc>
      </w:tr>
      <w:tr w:rsidR="00415DC4">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1"/>
                <w:bCs w:val="1"/>
                <w:i w:val="0"/>
                <w:iCs w:val="0"/>
                <w:u w:val="none"/>
                <w:vertAlign w:val="baseline"/>
                <w:rtl w:val="0"/>
              </w:rPr>
              <w:t xml:space="preserve">地方教育机构风险储备金</w:t>
            </w:r>
            <w:r>
              <w:rPr>
                <w:color w:val="4D4D4F"/>
                <w:lang w:eastAsia="zh-CN"/>
                <w:b w:val="0"/>
                <w:bCs w:val="0"/>
                <w:i w:val="0"/>
                <w:iCs w:val="0"/>
                <w:u w:val="none"/>
                <w:vertAlign w:val="baseline"/>
                <w:rtl w:val="0"/>
              </w:rPr>
              <w:t xml:space="preserve">（《美国法典》第20编第1411(e)(3)(A)条）：为协助地方教育机构（包括身为地方教育机构或地方教育机构联盟成员的特许学校）满足有较高需求的残障儿童的需求，各州每一财政年度均可选择留存该州根据《美国法典》第20编第1411(e)(2)(A)条和《联邦法规》第34编第300.704条所预留的州级活动资金的10%用作储备金。</w:t>
            </w:r>
          </w:p>
        </w:tc>
        <w:tc>
          <w:tcPr>
            <w:tcW w:w="3600" w:type="dxa"/>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435" w:type="dxa"/>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c>
          <w:tcPr>
            <w:tcW w:w="2445" w:type="dxa"/>
            <w:shd w:val="clear" w:color="auto" w:fill="CCCCCC"/>
            <w:tcMar>
              <w:top w:w="100" w:type="dxa"/>
              <w:left w:w="100" w:type="dxa"/>
              <w:bottom w:w="100" w:type="dxa"/>
              <w:right w:w="100" w:type="dxa"/>
            </w:tcMar>
          </w:tcPr>
          <w:p w:rsidR="00415DC4" w:rsidRDefault="00415DC4">
            <w:pPr>
              <w:widowControl w:val="0"/>
              <w:pBdr>
                <w:top w:val="nil"/>
                <w:left w:val="nil"/>
                <w:bottom w:val="nil"/>
                <w:right w:val="nil"/>
                <w:between w:val="nil"/>
              </w:pBdr>
              <w:spacing w:after="0" w:line="240" w:lineRule="auto"/>
              <w:rPr>
                <w:color w:val="4D4D4F"/>
              </w:rPr>
            </w:pPr>
          </w:p>
        </w:tc>
      </w:tr>
      <w:tr w:rsidR="00415DC4">
        <w:trPr>
          <w:trHeight w:val="1860"/>
        </w:trPr>
        <w:tc>
          <w:tcPr>
            <w:tcW w:w="3930"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根据《美国法典》第20编第1411(e)(3)条规定，在高成本基金成立的第一个财政年度及之后的财政年度，设立高成本基金并从该基金向地方教育机构拨款；以及</w:t>
            </w:r>
          </w:p>
        </w:tc>
        <w:tc>
          <w:tcPr>
            <w:tcW w:w="3600" w:type="dxa"/>
            <w:tcMar>
              <w:top w:w="100" w:type="dxa"/>
              <w:left w:w="100" w:type="dxa"/>
              <w:bottom w:w="100" w:type="dxa"/>
              <w:right w:w="100" w:type="dxa"/>
            </w:tcMar>
          </w:tcPr>
          <w:p w:rsidR="00415DC4" w:rsidRDefault="0006556A">
            <w:pPr>
              <w:widowControl w:val="0"/>
              <w:numPr>
                <w:ilvl w:val="0"/>
                <w:numId w:val="12"/>
              </w:numPr>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设立高成本基金储备，以支持与有复杂需求的学生相关的其他费用</w:t>
            </w:r>
          </w:p>
        </w:tc>
        <w:tc>
          <w:tcPr>
            <w:tcW w:w="43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u.</w:t>
            </w:r>
          </w:p>
        </w:tc>
        <w:tc>
          <w:tcPr>
            <w:tcW w:w="2445" w:type="dxa"/>
            <w:tcMar>
              <w:top w:w="100" w:type="dxa"/>
              <w:left w:w="100" w:type="dxa"/>
              <w:bottom w:w="100" w:type="dxa"/>
              <w:right w:w="100" w:type="dxa"/>
            </w:tcMar>
          </w:tcPr>
          <w:p w:rsidR="00415DC4" w:rsidRDefault="0006556A">
            <w:pPr>
              <w:widowControl w:val="0"/>
              <w:pBdr>
                <w:top w:val="nil"/>
                <w:left w:val="nil"/>
                <w:bottom w:val="nil"/>
                <w:right w:val="nil"/>
                <w:between w:val="nil"/>
              </w:pBdr>
              <w:spacing w:after="0" w:line="240" w:lineRule="auto"/>
              <w:rPr>
                <w:color w:val="4D4D4F"/>
              </w:rPr>
              <w:bidi w:val="0"/>
            </w:pPr>
            <w:r>
              <w:rPr>
                <w:color w:val="4D4D4F"/>
                <w:lang w:eastAsia="zh-CN"/>
                <w:b w:val="0"/>
                <w:bCs w:val="0"/>
                <w:i w:val="0"/>
                <w:iCs w:val="0"/>
                <w:u w:val="none"/>
                <w:vertAlign w:val="baseline"/>
                <w:rtl w:val="0"/>
              </w:rPr>
              <w:t xml:space="preserve">$4,400,000</w:t>
            </w:r>
          </w:p>
        </w:tc>
      </w:tr>
      <w:tr w:rsidR="00415DC4">
        <w:tc>
          <w:tcPr>
            <w:tcW w:w="3930"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CN"/>
                <w:b w:val="0"/>
                <w:bCs w:val="0"/>
                <w:i w:val="0"/>
                <w:iCs w:val="0"/>
                <w:u w:val="none"/>
                <w:vertAlign w:val="baseline"/>
                <w:rtl w:val="0"/>
              </w:rPr>
              <w:t xml:space="preserve">支持由州政府、地方教育机构或地方教育机构联盟成员以创新有效的方式分担费用， </w:t>
            </w:r>
          </w:p>
          <w:p w:rsidR="00415DC4" w:rsidRDefault="0006556A">
            <w:pPr>
              <w:widowControl w:val="0"/>
              <w:spacing w:after="0" w:line="240" w:lineRule="auto"/>
              <w:rPr>
                <w:color w:val="4D4D4F"/>
              </w:rPr>
              <w:bidi w:val="0"/>
            </w:pPr>
            <w:r>
              <w:rPr>
                <w:color w:val="4D4D4F"/>
                <w:lang w:eastAsia="zh-CN"/>
                <w:b w:val="0"/>
                <w:bCs w:val="0"/>
                <w:i w:val="0"/>
                <w:iCs w:val="0"/>
                <w:u w:val="none"/>
                <w:vertAlign w:val="baseline"/>
                <w:rtl w:val="0"/>
              </w:rPr>
              <w:t xml:space="preserve">具体方式由州政府与地方教育机构代表根据《美国法典》第20编第1411(e)(3)(B)(ii)条规定协商确定[金额不得超过地方教育机构风险储备金的5%]。</w:t>
            </w:r>
          </w:p>
        </w:tc>
        <w:tc>
          <w:tcPr>
            <w:tcW w:w="3600" w:type="dxa"/>
            <w:tcMar>
              <w:top w:w="100" w:type="dxa"/>
              <w:left w:w="100" w:type="dxa"/>
              <w:bottom w:w="100" w:type="dxa"/>
              <w:right w:w="100" w:type="dxa"/>
            </w:tcMar>
          </w:tcPr>
          <w:p w:rsidR="00415DC4" w:rsidRDefault="00415DC4">
            <w:pPr>
              <w:widowControl w:val="0"/>
              <w:spacing w:after="0" w:line="240" w:lineRule="auto"/>
              <w:rPr>
                <w:color w:val="4D4D4F"/>
              </w:rPr>
            </w:pPr>
          </w:p>
        </w:tc>
        <w:tc>
          <w:tcPr>
            <w:tcW w:w="435"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CN"/>
                <w:b w:val="0"/>
                <w:bCs w:val="0"/>
                <w:i w:val="0"/>
                <w:iCs w:val="0"/>
                <w:u w:val="none"/>
                <w:vertAlign w:val="baseline"/>
                <w:rtl w:val="0"/>
              </w:rPr>
              <w:t xml:space="preserve">v.</w:t>
            </w:r>
          </w:p>
        </w:tc>
        <w:tc>
          <w:tcPr>
            <w:tcW w:w="2445" w:type="dxa"/>
            <w:tcMar>
              <w:top w:w="100" w:type="dxa"/>
              <w:left w:w="100" w:type="dxa"/>
              <w:bottom w:w="100" w:type="dxa"/>
              <w:right w:w="100" w:type="dxa"/>
            </w:tcMar>
          </w:tcPr>
          <w:p w:rsidR="00415DC4" w:rsidRDefault="0006556A">
            <w:pPr>
              <w:widowControl w:val="0"/>
              <w:spacing w:after="0" w:line="240" w:lineRule="auto"/>
              <w:jc w:val="right"/>
              <w:rPr>
                <w:color w:val="4D4D4F"/>
              </w:rPr>
              <w:bidi w:val="0"/>
            </w:pPr>
            <w:r>
              <w:rPr>
                <w:color w:val="4D4D4F"/>
                <w:lang w:eastAsia="zh-CN"/>
                <w:b w:val="0"/>
                <w:bCs w:val="0"/>
                <w:i w:val="0"/>
                <w:iCs w:val="0"/>
                <w:u w:val="none"/>
                <w:vertAlign w:val="baseline"/>
                <w:rtl w:val="0"/>
              </w:rPr>
              <w:t xml:space="preserve">$0</w:t>
            </w:r>
          </w:p>
        </w:tc>
      </w:tr>
      <w:tr w:rsidR="00415DC4">
        <w:tc>
          <w:tcPr>
            <w:tcW w:w="3930"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CN"/>
                <w:b w:val="0"/>
                <w:bCs w:val="0"/>
                <w:i w:val="0"/>
                <w:iCs w:val="0"/>
                <w:u w:val="none"/>
                <w:vertAlign w:val="baseline"/>
                <w:rtl w:val="0"/>
              </w:rPr>
              <w:t xml:space="preserve">设立高成本基金（《美国法典》第20编第1411(e)(3)(B)(i)条；《联邦法规》第34编第300.704条）</w:t>
            </w:r>
          </w:p>
        </w:tc>
        <w:tc>
          <w:tcPr>
            <w:tcW w:w="3600"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c>
          <w:tcPr>
            <w:tcW w:w="435"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c>
          <w:tcPr>
            <w:tcW w:w="2445"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r>
      <w:tr w:rsidR="00415DC4">
        <w:tc>
          <w:tcPr>
            <w:tcW w:w="3930" w:type="dxa"/>
            <w:tcMar>
              <w:top w:w="100" w:type="dxa"/>
              <w:left w:w="100" w:type="dxa"/>
              <w:bottom w:w="100" w:type="dxa"/>
              <w:right w:w="100" w:type="dxa"/>
            </w:tcMar>
          </w:tcPr>
          <w:p w:rsidR="00415DC4" w:rsidRDefault="0006556A">
            <w:pPr>
              <w:widowControl w:val="0"/>
              <w:spacing w:after="0" w:line="240" w:lineRule="auto"/>
              <w:rPr>
                <w:color w:val="4D4D4F"/>
              </w:rPr>
              <w:bidi w:val="0"/>
            </w:pPr>
            <w:r>
              <w:rPr>
                <w:color w:val="4D4D4F"/>
                <w:lang w:eastAsia="zh-CN"/>
                <w:b w:val="0"/>
                <w:bCs w:val="0"/>
                <w:i w:val="0"/>
                <w:iCs w:val="0"/>
                <w:u w:val="none"/>
                <w:vertAlign w:val="baseline"/>
                <w:rtl w:val="0"/>
              </w:rPr>
              <w:t xml:space="preserve">各州不得使用根据《美国法典》第20编第1411(e)(3)(A)(i)条和《联邦法规》第34编第300.704条所预留的州储备资金，但可使用根据《美国法典》第20编第1411(e)(1)条和《联邦法规》第34编第300.704条所预留的州储备资金建立并支持高成本基金。</w:t>
            </w:r>
          </w:p>
        </w:tc>
        <w:tc>
          <w:tcPr>
            <w:tcW w:w="3600"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c>
          <w:tcPr>
            <w:tcW w:w="435"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c>
          <w:tcPr>
            <w:tcW w:w="2445" w:type="dxa"/>
            <w:shd w:val="clear" w:color="auto" w:fill="CCCCCC"/>
            <w:tcMar>
              <w:top w:w="100" w:type="dxa"/>
              <w:left w:w="100" w:type="dxa"/>
              <w:bottom w:w="100" w:type="dxa"/>
              <w:right w:w="100" w:type="dxa"/>
            </w:tcMar>
          </w:tcPr>
          <w:p w:rsidR="00415DC4" w:rsidRDefault="00415DC4">
            <w:pPr>
              <w:widowControl w:val="0"/>
              <w:spacing w:after="0" w:line="240" w:lineRule="auto"/>
              <w:rPr>
                <w:color w:val="4D4D4F"/>
              </w:rPr>
            </w:pPr>
          </w:p>
        </w:tc>
      </w:tr>
    </w:tbl>
    <w:p w:rsidR="00415DC4" w:rsidRDefault="00415DC4">
      <w:pPr>
        <w:spacing w:after="0" w:line="240" w:lineRule="auto"/>
      </w:pPr>
      <w:bookmarkStart w:id="5" w:name="_6kpmys74hr9e" w:colFirst="0" w:colLast="0"/>
      <w:bookmarkEnd w:id="5"/>
    </w:p>
    <w:p w:rsidR="00415DC4" w:rsidRDefault="00415DC4">
      <w:pPr>
        <w:spacing w:line="240" w:lineRule="auto"/>
      </w:pPr>
    </w:p>
    <w:p w:rsidR="00415DC4" w:rsidRDefault="00415DC4">
      <w:pPr>
        <w:spacing w:line="240" w:lineRule="auto"/>
      </w:pPr>
    </w:p>
    <w:p w:rsidR="00415DC4" w:rsidRDefault="00415DC4">
      <w:pPr>
        <w:spacing w:line="240" w:lineRule="auto"/>
      </w:pPr>
    </w:p>
    <w:sectPr w:rsidR="00415DC4">
      <w:headerReference w:type="default" r:id="rId7"/>
      <w:footerReference w:type="default" r:id="rId8"/>
      <w:headerReference w:type="first" r:id="rId9"/>
      <w:footerReference w:type="first" r:id="rId10"/>
      <w:pgSz w:w="12240" w:h="15840"/>
      <w:pgMar w:top="1080" w:right="720" w:bottom="1080" w:left="72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6A" w:rsidRDefault="0006556A">
      <w:pPr>
        <w:spacing w:after="0" w:line="240" w:lineRule="auto"/>
      </w:pPr>
      <w:r>
        <w:separator/>
      </w:r>
    </w:p>
  </w:endnote>
  <w:endnote w:type="continuationSeparator" w:id="0">
    <w:p w:rsidR="0006556A" w:rsidRDefault="0006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Medium">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C4" w:rsidRDefault="0006556A">
    <w:pPr>
      <w:spacing w:after="0"/>
      <w:rPr>
        <w:b/>
        <w:sz w:val="16"/>
        <w:szCs w:val="16"/>
      </w:rPr>
      <w:bidi w:val="0"/>
    </w:pPr>
    <w:r>
      <w:rPr>
        <w:sz w:val="16"/>
        <w:szCs w:val="16"/>
        <w:lang w:eastAsia="zh-CN"/>
        <w:b w:val="1"/>
        <w:bCs w:val="1"/>
        <w:i w:val="0"/>
        <w:iCs w:val="0"/>
        <w:u w:val="none"/>
        <w:vertAlign w:val="baseline"/>
        <w:rtl w:val="0"/>
      </w:rPr>
      <w:t xml:space="preserve">路易斯安那州教育部</w:t>
    </w:r>
  </w:p>
  <w:p w:rsidR="00415DC4" w:rsidRDefault="0006556A">
    <w:pPr>
      <w:tabs>
        <w:tab w:val="right" w:pos="10800"/>
      </w:tabs>
      <w:spacing w:after="0"/>
      <w:bidi w:val="0"/>
    </w:pPr>
    <w:hyperlink r:id="rId1">
      <w:r>
        <w:rPr>
          <w:color w:val="017F92"/>
          <w:sz w:val="16"/>
          <w:szCs w:val="16"/>
          <w:lang w:eastAsia="zh-CN"/>
          <w:b w:val="0"/>
          <w:bCs w:val="0"/>
          <w:i w:val="0"/>
          <w:iCs w:val="0"/>
          <w:u w:val="single"/>
          <w:vertAlign w:val="baseline"/>
          <w:rtl w:val="0"/>
        </w:rPr>
        <w:t xml:space="preserve">doe.louisiana.gov</w:t>
      </w:r>
    </w:hyperlink>
    <w:r>
      <w:rPr>
        <w:sz w:val="16"/>
        <w:szCs w:val="16"/>
        <w:lang w:eastAsia="zh-CN"/>
        <w:b w:val="0"/>
        <w:bCs w:val="0"/>
        <w:i w:val="0"/>
        <w:iCs w:val="0"/>
        <w:u w:val="none"/>
        <w:vertAlign w:val="baseline"/>
        <w:rtl w:val="0"/>
      </w:rPr>
      <w:t xml:space="preserve">  |  P.O. Box 94064 •  Baton Rouge, LA •  70804-9064</w:t>
    </w:r>
    <w:r>
      <w:rPr>
        <w:sz w:val="16"/>
        <w:szCs w:val="16"/>
        <w:lang w:eastAsia="zh-CN"/>
        <w:b w:val="0"/>
        <w:bCs w:val="0"/>
        <w:i w:val="0"/>
        <w:iCs w:val="0"/>
        <w:u w:val="none"/>
        <w:vertAlign w:val="baseline"/>
        <w:rtl w:val="0"/>
      </w:rPr>
      <w:tab/>
    </w:r>
    <w:r>
      <w:rPr>
        <w:sz w:val="16"/>
        <w:szCs w:val="16"/>
        <w:lang w:eastAsia="zh-CN"/>
        <w:b w:val="0"/>
        <w:bCs w:val="0"/>
        <w:i w:val="0"/>
        <w:iCs w:val="0"/>
        <w:u w:val="none"/>
        <w:vertAlign w:val="baseline"/>
        <w:rtl w:val="0"/>
      </w:rPr>
      <w:t xml:space="preserve">页码：</w:t>
    </w:r>
    <w:r>
      <w:rPr>
        <w:sz w:val="16"/>
        <w:szCs w:val="16"/>
        <w:lang w:eastAsia="zh-CN"/>
        <w:b w:val="0"/>
        <w:bCs w:val="0"/>
        <w:i w:val="0"/>
        <w:iCs w:val="0"/>
        <w:u w:val="none"/>
        <w:vertAlign w:val="baseline"/>
        <w:rtl w:val="0"/>
      </w:rPr>
      <w:fldChar w:fldCharType="begin"/>
    </w:r>
    <w:r>
      <w:rPr>
        <w:sz w:val="16"/>
        <w:szCs w:val="16"/>
        <w:lang w:eastAsia="zh-CN"/>
        <w:b w:val="0"/>
        <w:bCs w:val="0"/>
        <w:i w:val="0"/>
        <w:iCs w:val="0"/>
        <w:u w:val="none"/>
        <w:vertAlign w:val="baseline"/>
        <w:rtl w:val="0"/>
      </w:rPr>
      <w:instrText>PAGE</w:instrText>
    </w:r>
    <w:r>
      <w:rPr>
        <w:sz w:val="16"/>
        <w:szCs w:val="16"/>
        <w:lang w:eastAsia="zh-CN"/>
        <w:b w:val="0"/>
        <w:bCs w:val="0"/>
        <w:i w:val="0"/>
        <w:iCs w:val="0"/>
        <w:u w:val="none"/>
        <w:vertAlign w:val="baseline"/>
        <w:rtl w:val="0"/>
      </w:rPr>
      <w:fldChar w:fldCharType="separate"/>
    </w:r>
    <w:r>
      <w:rPr>
        <w:noProof/>
        <w:sz w:val="16"/>
        <w:szCs w:val="16"/>
        <w:lang w:eastAsia="zh-CN"/>
        <w:b w:val="0"/>
        <w:bCs w:val="0"/>
        <w:i w:val="0"/>
        <w:iCs w:val="0"/>
        <w:u w:val="none"/>
        <w:vertAlign w:val="baseline"/>
        <w:rtl w:val="0"/>
      </w:rPr>
      <w:t xml:space="preserve">6</w:t>
    </w:r>
    <w:r>
      <w:rPr>
        <w:sz w:val="16"/>
        <w:szCs w:val="16"/>
        <w:lang w:eastAsia="zh-CN"/>
        <w:b w:val="0"/>
        <w:bCs w:val="0"/>
        <w:i w:val="0"/>
        <w:iCs w:val="0"/>
        <w:u w:val="none"/>
        <w:vertAlign w:val="baseline"/>
        <w:rtl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C4" w:rsidRDefault="0006556A">
    <w:pPr>
      <w:spacing w:after="0"/>
      <w:rPr>
        <w:b/>
        <w:sz w:val="16"/>
        <w:szCs w:val="16"/>
      </w:rPr>
      <w:bidi w:val="0"/>
    </w:pPr>
    <w:r>
      <w:rPr>
        <w:sz w:val="16"/>
        <w:szCs w:val="16"/>
        <w:lang w:eastAsia="zh-CN"/>
        <w:b w:val="1"/>
        <w:bCs w:val="1"/>
        <w:i w:val="0"/>
        <w:iCs w:val="0"/>
        <w:u w:val="none"/>
        <w:vertAlign w:val="baseline"/>
        <w:rtl w:val="0"/>
      </w:rPr>
      <w:t xml:space="preserve">路易斯安那州教育部</w:t>
    </w:r>
  </w:p>
  <w:p w:rsidR="00415DC4" w:rsidRDefault="0006556A">
    <w:pPr>
      <w:tabs>
        <w:tab w:val="right" w:pos="10800"/>
      </w:tabs>
      <w:spacing w:after="0"/>
      <w:bidi w:val="0"/>
    </w:pPr>
    <w:hyperlink r:id="rId1">
      <w:r>
        <w:rPr>
          <w:color w:val="017F92"/>
          <w:sz w:val="16"/>
          <w:szCs w:val="16"/>
          <w:lang w:eastAsia="zh-CN"/>
          <w:b w:val="0"/>
          <w:bCs w:val="0"/>
          <w:i w:val="0"/>
          <w:iCs w:val="0"/>
          <w:u w:val="single"/>
          <w:vertAlign w:val="baseline"/>
          <w:rtl w:val="0"/>
        </w:rPr>
        <w:t xml:space="preserve">doe.louisiana.gov</w:t>
      </w:r>
    </w:hyperlink>
    <w:r>
      <w:rPr>
        <w:sz w:val="16"/>
        <w:szCs w:val="16"/>
        <w:lang w:eastAsia="zh-CN"/>
        <w:b w:val="0"/>
        <w:bCs w:val="0"/>
        <w:i w:val="0"/>
        <w:iCs w:val="0"/>
        <w:u w:val="none"/>
        <w:vertAlign w:val="baseline"/>
        <w:rtl w:val="0"/>
      </w:rPr>
      <w:t xml:space="preserve">  |  P.O. Box 94064 •  Baton Rouge, LA •  70804-9064</w:t>
    </w:r>
    <w:r>
      <w:rPr>
        <w:sz w:val="16"/>
        <w:szCs w:val="16"/>
        <w:lang w:eastAsia="zh-CN"/>
        <w:b w:val="0"/>
        <w:bCs w:val="0"/>
        <w:i w:val="0"/>
        <w:iCs w:val="0"/>
        <w:u w:val="none"/>
        <w:vertAlign w:val="baseline"/>
        <w:rtl w:val="0"/>
      </w:rPr>
      <w:tab/>
    </w:r>
    <w:r>
      <w:rPr>
        <w:sz w:val="16"/>
        <w:szCs w:val="16"/>
        <w:lang w:eastAsia="zh-CN"/>
        <w:b w:val="0"/>
        <w:bCs w:val="0"/>
        <w:i w:val="0"/>
        <w:iCs w:val="0"/>
        <w:u w:val="none"/>
        <w:vertAlign w:val="baseline"/>
        <w:rtl w:val="0"/>
      </w:rPr>
      <w:t xml:space="preserve">页码：</w:t>
    </w:r>
    <w:r>
      <w:rPr>
        <w:sz w:val="16"/>
        <w:szCs w:val="16"/>
        <w:lang w:eastAsia="zh-CN"/>
        <w:b w:val="0"/>
        <w:bCs w:val="0"/>
        <w:i w:val="0"/>
        <w:iCs w:val="0"/>
        <w:u w:val="none"/>
        <w:vertAlign w:val="baseline"/>
        <w:rtl w:val="0"/>
      </w:rPr>
      <w:fldChar w:fldCharType="begin"/>
    </w:r>
    <w:r>
      <w:rPr>
        <w:sz w:val="16"/>
        <w:szCs w:val="16"/>
        <w:lang w:eastAsia="zh-CN"/>
        <w:b w:val="0"/>
        <w:bCs w:val="0"/>
        <w:i w:val="0"/>
        <w:iCs w:val="0"/>
        <w:u w:val="none"/>
        <w:vertAlign w:val="baseline"/>
        <w:rtl w:val="0"/>
      </w:rPr>
      <w:instrText>PAGE</w:instrText>
    </w:r>
    <w:r>
      <w:rPr>
        <w:sz w:val="16"/>
        <w:szCs w:val="16"/>
        <w:lang w:eastAsia="zh-CN"/>
        <w:b w:val="0"/>
        <w:bCs w:val="0"/>
        <w:i w:val="0"/>
        <w:iCs w:val="0"/>
        <w:u w:val="none"/>
        <w:vertAlign w:val="baseline"/>
        <w:rtl w:val="0"/>
      </w:rPr>
      <w:fldChar w:fldCharType="separate"/>
    </w:r>
    <w:r>
      <w:rPr>
        <w:noProof/>
        <w:sz w:val="16"/>
        <w:szCs w:val="16"/>
        <w:lang w:eastAsia="zh-CN"/>
        <w:b w:val="0"/>
        <w:bCs w:val="0"/>
        <w:i w:val="0"/>
        <w:iCs w:val="0"/>
        <w:u w:val="none"/>
        <w:vertAlign w:val="baseline"/>
        <w:rtl w:val="0"/>
      </w:rPr>
      <w:t xml:space="preserve">1</w:t>
    </w:r>
    <w:r>
      <w:rPr>
        <w:sz w:val="16"/>
        <w:szCs w:val="16"/>
        <w:lang w:eastAsia="zh-CN"/>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6A" w:rsidRDefault="0006556A">
      <w:pPr>
        <w:spacing w:after="0" w:line="240" w:lineRule="auto"/>
      </w:pPr>
      <w:r>
        <w:separator/>
      </w:r>
    </w:p>
  </w:footnote>
  <w:footnote w:type="continuationSeparator" w:id="0">
    <w:p w:rsidR="0006556A" w:rsidRDefault="0006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C4" w:rsidRDefault="0006556A">
    <w:pPr>
      <w:spacing w:after="0"/>
      <w:rPr>
        <w:sz w:val="12"/>
        <w:szCs w:val="12"/>
      </w:rPr>
      <w:bidi w:val="0"/>
    </w:pPr>
    <w:r>
      <w:rPr>
        <w:lang w:eastAsia="zh-CN"/>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1.5pt;height:272.15pt;rotation:315;z-index:-251658240;mso-position-horizontal:center;mso-position-horizontal-relative:margin;mso-position-vertical:center;mso-position-vertical-relative:margin" fillcolor="#e8eaed" stroked="f">
          <v:textpath style="font-family:&quot;&amp;quot&quot;;font-size:1pt" string="草案"/>
          <w10:wrap anchorx="margin" anchory="margin"/>
        </v:shape>
      </w:pict>
    </w:r>
    <w:r>
      <w:rPr>
        <w:noProof/>
        <w:lang w:eastAsia="zh-CN"/>
        <w:b w:val="0"/>
        <w:bCs w:val="0"/>
        <w:i w:val="0"/>
        <w:iCs w:val="0"/>
        <w:u w:val="none"/>
        <w:vertAlign w:val="baseline"/>
        <w:rtl w:val="0"/>
      </w:rPr>
      <w:drawing>
        <wp:anchor distT="0" distB="0" distL="0" distR="0" simplePos="0" relativeHeight="251656192" behindDoc="0" locked="0" layoutInCell="1" hidden="0" allowOverlap="1">
          <wp:simplePos x="0" y="0"/>
          <wp:positionH relativeFrom="column">
            <wp:posOffset>-695324</wp:posOffset>
          </wp:positionH>
          <wp:positionV relativeFrom="paragraph">
            <wp:posOffset>0</wp:posOffset>
          </wp:positionV>
          <wp:extent cx="8020050" cy="300038"/>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40310" r="40310"/>
                  <a:stretch>
                    <a:fillRect/>
                  </a:stretch>
                </pic:blipFill>
                <pic:spPr>
                  <a:xfrm>
                    <a:off x="0" y="0"/>
                    <a:ext cx="8020050" cy="3000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C4" w:rsidRDefault="0006556A">
    <w:pPr>
      <w:spacing w:after="0"/>
      <w:rPr>
        <w:b/>
        <w:color w:val="4D4D4F"/>
      </w:rPr>
      <w:bidi w:val="0"/>
    </w:pPr>
    <w:r>
      <w:rPr>
        <w:lang w:eastAsia="zh-CN"/>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1.5pt;height:272.15pt;rotation:315;z-index:-251657216;mso-position-horizontal:center;mso-position-horizontal-relative:margin;mso-position-vertical:center;mso-position-vertical-relative:margin" fillcolor="#e8eaed" stroked="f">
          <v:textpath style="font-family:&quot;&amp;quot&quot;;font-size:1pt" string="草案"/>
          <w10:wrap anchorx="margin" anchory="margin"/>
        </v:shape>
      </w:pict>
    </w:r>
    <w:r>
      <w:rPr>
        <w:noProof/>
        <w:lang w:eastAsia="zh-CN"/>
        <w:b w:val="0"/>
        <w:bCs w:val="0"/>
        <w:i w:val="0"/>
        <w:iCs w:val="0"/>
        <w:u w:val="none"/>
        <w:vertAlign w:val="baseline"/>
        <w:rtl w:val="0"/>
      </w:rPr>
      <w:drawing>
        <wp:anchor distT="0" distB="0" distL="0" distR="0" simplePos="0" relativeHeight="251657216" behindDoc="0" locked="0" layoutInCell="1" hidden="0" allowOverlap="1">
          <wp:simplePos x="0" y="0"/>
          <wp:positionH relativeFrom="column">
            <wp:posOffset>-466724</wp:posOffset>
          </wp:positionH>
          <wp:positionV relativeFrom="paragraph">
            <wp:posOffset>0</wp:posOffset>
          </wp:positionV>
          <wp:extent cx="7791450" cy="1200012"/>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7" b="87"/>
                  <a:stretch>
                    <a:fillRect/>
                  </a:stretch>
                </pic:blipFill>
                <pic:spPr>
                  <a:xfrm>
                    <a:off x="0" y="0"/>
                    <a:ext cx="7791450" cy="1200012"/>
                  </a:xfrm>
                  <a:prstGeom prst="rect">
                    <a:avLst/>
                  </a:prstGeom>
                  <a:ln/>
                </pic:spPr>
              </pic:pic>
            </a:graphicData>
          </a:graphic>
        </wp:anchor>
      </w:drawing>
    </w:r>
  </w:p>
  <w:p w:rsidR="00415DC4" w:rsidRDefault="0006556A">
    <w:pPr>
      <w:rPr>
        <w:b/>
      </w:rPr>
      <w:bidi w:val="0"/>
    </w:pPr>
    <w:r>
      <w:rPr>
        <w:color w:val="3C1053"/>
        <w:sz w:val="30"/>
        <w:szCs w:val="30"/>
        <w:lang w:eastAsia="zh-CN"/>
        <w:b w:val="1"/>
        <w:bCs w:val="1"/>
        <w:i w:val="0"/>
        <w:iCs w:val="0"/>
        <w:u w:val="none"/>
        <w:vertAlign w:val="baseline"/>
        <w:rtl w:val="0"/>
      </w:rPr>
      <w:t xml:space="preserve">IDEA 联邦2024财政年度 IDEA 拨款申请活动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728"/>
    <w:multiLevelType w:val="multilevel"/>
    <w:tmpl w:val="93941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116F1"/>
    <w:multiLevelType w:val="multilevel"/>
    <w:tmpl w:val="B3545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D39EC"/>
    <w:multiLevelType w:val="multilevel"/>
    <w:tmpl w:val="A1969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86698"/>
    <w:multiLevelType w:val="multilevel"/>
    <w:tmpl w:val="2048D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E33E66"/>
    <w:multiLevelType w:val="multilevel"/>
    <w:tmpl w:val="1F22C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D74B8"/>
    <w:multiLevelType w:val="multilevel"/>
    <w:tmpl w:val="F8AC9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393DAF"/>
    <w:multiLevelType w:val="multilevel"/>
    <w:tmpl w:val="4F501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32EAD"/>
    <w:multiLevelType w:val="multilevel"/>
    <w:tmpl w:val="E0F00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2C4EFD"/>
    <w:multiLevelType w:val="multilevel"/>
    <w:tmpl w:val="19A0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1962FC"/>
    <w:multiLevelType w:val="multilevel"/>
    <w:tmpl w:val="661A8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834A46"/>
    <w:multiLevelType w:val="multilevel"/>
    <w:tmpl w:val="34620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1632D5"/>
    <w:multiLevelType w:val="multilevel"/>
    <w:tmpl w:val="99A82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752B8A"/>
    <w:multiLevelType w:val="multilevel"/>
    <w:tmpl w:val="16B8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7"/>
  </w:num>
  <w:num w:numId="4">
    <w:abstractNumId w:val="11"/>
  </w:num>
  <w:num w:numId="5">
    <w:abstractNumId w:val="10"/>
  </w:num>
  <w:num w:numId="6">
    <w:abstractNumId w:val="1"/>
  </w:num>
  <w:num w:numId="7">
    <w:abstractNumId w:val="5"/>
  </w:num>
  <w:num w:numId="8">
    <w:abstractNumId w:val="3"/>
  </w:num>
  <w:num w:numId="9">
    <w:abstractNumId w:val="9"/>
  </w:num>
  <w:num w:numId="10">
    <w:abstractNumId w:val="8"/>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C4"/>
    <w:rsid w:val="0006556A"/>
    <w:rsid w:val="0007144D"/>
    <w:rsid w:val="0041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2018DE-2992-4D65-9BC5-F997ECF7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ublic Sans" w:eastAsia="Public Sans" w:hAnsi="Public Sans" w:cs="Public Sans"/>
        <w:color w:val="4E4E51"/>
        <w:sz w:val="22"/>
        <w:szCs w:val="22"/>
        <w:lang w:val="en"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0"/>
      <w:ind w:left="-20"/>
      <w:outlineLvl w:val="0"/>
    </w:pPr>
    <w:rPr>
      <w:b/>
      <w:color w:val="3C1053"/>
      <w:sz w:val="48"/>
      <w:szCs w:val="48"/>
    </w:rPr>
  </w:style>
  <w:style w:type="paragraph" w:styleId="Heading2">
    <w:name w:val="heading 2"/>
    <w:basedOn w:val="Normal"/>
    <w:next w:val="Normal"/>
    <w:pPr>
      <w:keepNext/>
      <w:keepLines/>
      <w:spacing w:before="120" w:after="0"/>
      <w:outlineLvl w:val="1"/>
    </w:pPr>
    <w:rPr>
      <w:b/>
      <w:color w:val="017F92"/>
      <w:sz w:val="32"/>
      <w:szCs w:val="32"/>
    </w:rPr>
  </w:style>
  <w:style w:type="paragraph" w:styleId="Heading3">
    <w:name w:val="heading 3"/>
    <w:basedOn w:val="Normal"/>
    <w:next w:val="Normal"/>
    <w:pPr>
      <w:keepNext/>
      <w:keepLines/>
      <w:spacing w:before="200" w:after="0" w:line="240" w:lineRule="auto"/>
      <w:outlineLvl w:val="2"/>
    </w:pPr>
    <w:rPr>
      <w:b/>
      <w:sz w:val="24"/>
      <w:szCs w:val="24"/>
    </w:rPr>
  </w:style>
  <w:style w:type="paragraph" w:styleId="Heading4">
    <w:name w:val="heading 4"/>
    <w:basedOn w:val="Normal"/>
    <w:next w:val="Normal"/>
    <w:pPr>
      <w:keepNext/>
      <w:keepLines/>
      <w:spacing w:before="200" w:line="240" w:lineRule="auto"/>
      <w:outlineLvl w:val="3"/>
    </w:pPr>
    <w:rPr>
      <w:b/>
      <w:color w:val="4D4D4F"/>
      <w:sz w:val="20"/>
      <w:szCs w:val="20"/>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after="0" w:line="240" w:lineRule="auto"/>
    </w:pPr>
    <w:rPr>
      <w:b/>
      <w:color w:val="3C1053"/>
      <w:sz w:val="56"/>
      <w:szCs w:val="56"/>
    </w:rPr>
  </w:style>
  <w:style w:type="paragraph" w:styleId="Subtitle">
    <w:name w:val="Subtitle"/>
    <w:basedOn w:val="Normal"/>
    <w:next w:val="Normal"/>
    <w:pPr>
      <w:keepNext/>
      <w:keepLines/>
    </w:pPr>
    <w:rPr>
      <w:rFonts w:ascii="Public Sans Medium" w:eastAsia="Public Sans Medium" w:hAnsi="Public Sans Medium" w:cs="Public Sans Medium"/>
      <w:color w:val="3C10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_rels/footer1.xml.rels><?xml version="1.0" encoding="UTF-8" standalone="yes"?>
<Relationships xmlns="http://schemas.openxmlformats.org/package/2006/relationships"><Relationship Id="rId1" Type="http://schemas.openxmlformats.org/officeDocument/2006/relationships/hyperlink" TargetMode="External" Target="http://doe.louisiana.gov/" /></Relationships>
</file>

<file path=word/_rels/footer2.xml.rels><?xml version="1.0" encoding="UTF-8" standalone="yes"?>
<Relationships xmlns="http://schemas.openxmlformats.org/package/2006/relationships"><Relationship Id="rId1" Type="http://schemas.openxmlformats.org/officeDocument/2006/relationships/hyperlink" TargetMode="External" Target="http://doe.louisiana.gov/"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Jordan</dc:creator>
  <cp:lastModifiedBy>Meredith Jordan</cp:lastModifiedBy>
  <cp:revision>2</cp:revision>
  <dcterms:created xsi:type="dcterms:W3CDTF">2024-03-13T13:30:00Z</dcterms:created>
  <dcterms:modified xsi:type="dcterms:W3CDTF">2024-03-13T13:30:00Z</dcterms:modified>
</cp:coreProperties>
</file>