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line="240" w:lineRule="auto"/>
        <w:rPr>
          <w:sz w:val="22"/>
          <w:szCs w:val="22"/>
        </w:rPr>
      </w:pPr>
      <w:bookmarkStart w:colFirst="0" w:colLast="0" w:name="_7eke042h1yyy" w:id="0"/>
      <w:bookmarkEnd w:id="0"/>
      <w:r w:rsidDel="00000000" w:rsidR="00000000" w:rsidRPr="00000000">
        <w:rPr>
          <w:sz w:val="42"/>
          <w:szCs w:val="42"/>
          <w:rtl w:val="0"/>
        </w:rPr>
        <w:t xml:space="preserve">EOY Counselor Conference Framework  </w:t>
      </w:r>
      <w:r w:rsidDel="00000000" w:rsidR="00000000" w:rsidRPr="00000000">
        <w:rPr>
          <w:sz w:val="42"/>
          <w:szCs w:val="42"/>
          <w:rtl w:val="0"/>
        </w:rPr>
        <w:t xml:space="preserve">        </w:t>
      </w:r>
      <w:r w:rsidDel="00000000" w:rsidR="00000000" w:rsidRPr="00000000">
        <w:rPr>
          <w:sz w:val="22"/>
          <w:szCs w:val="22"/>
          <w:rtl w:val="0"/>
        </w:rPr>
        <w:t xml:space="preserve">Released July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color w:val="4d4d4f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line="240" w:lineRule="auto"/>
        <w:rPr/>
      </w:pPr>
      <w:bookmarkStart w:colFirst="0" w:colLast="0" w:name="_inwshnrbf2g2" w:id="1"/>
      <w:bookmarkEnd w:id="1"/>
      <w:r w:rsidDel="00000000" w:rsidR="00000000" w:rsidRPr="00000000">
        <w:rPr>
          <w:rtl w:val="0"/>
        </w:rPr>
        <w:t xml:space="preserve">End-of-Year (EOY) Summative Conference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400"/>
          <w:tab w:val="left" w:leader="none" w:pos="5703"/>
          <w:tab w:val="left" w:leader="none" w:pos="9930"/>
        </w:tabs>
        <w:spacing w:after="0" w:before="126" w:line="240" w:lineRule="auto"/>
        <w:ind w:left="0" w:right="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Counselor 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666666"/>
          <w:sz w:val="20"/>
          <w:szCs w:val="20"/>
          <w:rtl w:val="0"/>
        </w:rPr>
        <w:tab/>
        <w:t xml:space="preserve">        School Name 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2" w:line="240" w:lineRule="auto"/>
        <w:rPr>
          <w:color w:val="666666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340"/>
          <w:tab w:val="left" w:leader="none" w:pos="5694"/>
          <w:tab w:val="left" w:leader="none" w:pos="9923"/>
        </w:tabs>
        <w:spacing w:after="0" w:before="57" w:line="240" w:lineRule="auto"/>
        <w:ind w:left="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School Year 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color w:val="666666"/>
          <w:sz w:val="20"/>
          <w:szCs w:val="20"/>
          <w:rtl w:val="0"/>
        </w:rPr>
        <w:tab/>
        <w:t xml:space="preserve">        Evaluator 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2" w:line="240" w:lineRule="auto"/>
        <w:rPr>
          <w:color w:val="666666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393"/>
        </w:tabs>
        <w:spacing w:after="0" w:before="56" w:line="240" w:lineRule="auto"/>
        <w:ind w:left="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EOY Conference Date: </w:t>
      </w:r>
      <w:r w:rsidDel="00000000" w:rsidR="00000000" w:rsidRPr="00000000">
        <w:rPr>
          <w:color w:val="666666"/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color w:val="666666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1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5"/>
        <w:gridCol w:w="5400"/>
        <w:tblGridChange w:id="0">
          <w:tblGrid>
            <w:gridCol w:w="5385"/>
            <w:gridCol w:w="540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Reinforcement Indicator:</w:t>
            </w:r>
          </w:p>
          <w:p w:rsidR="00000000" w:rsidDel="00000000" w:rsidP="00000000" w:rsidRDefault="00000000" w:rsidRPr="00000000" w14:paraId="0000000B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ind w:right="0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Self-Analysis Questions:</w:t>
            </w:r>
          </w:p>
          <w:p w:rsidR="00000000" w:rsidDel="00000000" w:rsidP="00000000" w:rsidRDefault="00000000" w:rsidRPr="00000000" w14:paraId="00000010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52" w:line="240" w:lineRule="auto"/>
              <w:ind w:left="0" w:right="22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ind w:right="0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widowControl w:val="0"/>
              <w:spacing w:after="0" w:line="246" w:lineRule="auto"/>
              <w:ind w:left="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Evidence to support Reinforcement: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6" w:lineRule="auto"/>
              <w:ind w:left="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6" w:lineRule="auto"/>
              <w:ind w:left="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Refinement Indicator: 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Self-Analysis Questions:</w:t>
            </w:r>
          </w:p>
          <w:p w:rsidR="00000000" w:rsidDel="00000000" w:rsidP="00000000" w:rsidRDefault="00000000" w:rsidRPr="00000000" w14:paraId="0000002D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52" w:line="240" w:lineRule="auto"/>
              <w:ind w:right="225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line="246" w:lineRule="auto"/>
              <w:ind w:left="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Evidence to support Refinement: 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46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6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widowControl w:val="0"/>
              <w:spacing w:after="0" w:line="246" w:lineRule="auto"/>
              <w:rPr>
                <w:i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Student Learning Targets: </w:t>
            </w: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Did students m</w:t>
            </w: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eet </w:t>
            </w:r>
            <w:r w:rsidDel="00000000" w:rsidR="00000000" w:rsidRPr="00000000">
              <w:rPr>
                <w:b w:val="1"/>
                <w:i w:val="1"/>
                <w:color w:val="666666"/>
                <w:rtl w:val="0"/>
              </w:rPr>
              <w:t xml:space="preserve">identified targets?</w:t>
            </w:r>
            <w:r w:rsidDel="00000000" w:rsidR="00000000" w:rsidRPr="00000000">
              <w:rPr>
                <w:i w:val="1"/>
                <w:color w:val="66666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6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rtl w:val="0"/>
              </w:rPr>
              <w:t xml:space="preserve">Review student data used to assess mastery of targets.</w:t>
            </w:r>
            <w:r w:rsidDel="00000000" w:rsidR="00000000" w:rsidRPr="00000000">
              <w:rPr>
                <w:color w:val="66666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line="246" w:lineRule="auto"/>
              <w:ind w:left="0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Recommendation(s) for Continued Improvement: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46" w:lineRule="auto"/>
              <w:ind w:left="115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ind w:left="0" w:right="833" w:firstLine="0"/>
              <w:rPr>
                <w:b w:val="1"/>
                <w:color w:val="666666"/>
              </w:rPr>
            </w:pPr>
            <w:r w:rsidDel="00000000" w:rsidR="00000000" w:rsidRPr="00000000">
              <w:rPr>
                <w:b w:val="1"/>
                <w:color w:val="666666"/>
                <w:rtl w:val="0"/>
              </w:rPr>
              <w:t xml:space="preserve">Possible Goals for Next School Year (Optional):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b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80" w:top="1080" w:left="720" w:right="720" w:header="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Public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ublic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5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56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A">
    <w:pPr>
      <w:spacing w:after="0" w:lineRule="auto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Louisiana Department of Education</w:t>
    </w:r>
  </w:p>
  <w:p w:rsidR="00000000" w:rsidDel="00000000" w:rsidP="00000000" w:rsidRDefault="00000000" w:rsidRPr="00000000" w14:paraId="0000005B">
    <w:pPr>
      <w:tabs>
        <w:tab w:val="right" w:leader="none" w:pos="10800"/>
      </w:tabs>
      <w:spacing w:after="0" w:lineRule="auto"/>
      <w:rPr/>
    </w:pPr>
    <w:hyperlink r:id="rId1">
      <w:r w:rsidDel="00000000" w:rsidR="00000000" w:rsidRPr="00000000">
        <w:rPr>
          <w:color w:val="017f92"/>
          <w:sz w:val="16"/>
          <w:szCs w:val="16"/>
          <w:u w:val="single"/>
          <w:rtl w:val="0"/>
        </w:rPr>
        <w:t xml:space="preserve">doe.louisiana.gov</w:t>
      </w:r>
    </w:hyperlink>
    <w:r w:rsidDel="00000000" w:rsidR="00000000" w:rsidRPr="00000000">
      <w:rPr>
        <w:sz w:val="16"/>
        <w:szCs w:val="16"/>
        <w:rtl w:val="0"/>
      </w:rPr>
      <w:t xml:space="preserve">  |  P.O. Box 94064 •  Baton Rouge, LA •  70804-9064</w:t>
      <w:tab/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7">
    <w:pPr>
      <w:pageBreakBefore w:val="0"/>
      <w:spacing w:after="0" w:lineRule="auto"/>
      <w:jc w:val="left"/>
      <w:rPr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-695324</wp:posOffset>
          </wp:positionH>
          <wp:positionV relativeFrom="paragraph">
            <wp:posOffset>0</wp:posOffset>
          </wp:positionV>
          <wp:extent cx="8020050" cy="300038"/>
          <wp:effectExtent b="0" l="0" r="0" t="0"/>
          <wp:wrapTopAndBottom distB="0" dist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40310" r="40310" t="0"/>
                  <a:stretch>
                    <a:fillRect/>
                  </a:stretch>
                </pic:blipFill>
                <pic:spPr>
                  <a:xfrm>
                    <a:off x="0" y="0"/>
                    <a:ext cx="8020050" cy="3000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8">
    <w:pPr>
      <w:spacing w:after="0" w:lineRule="auto"/>
      <w:rPr>
        <w:rFonts w:ascii="Public Sans" w:cs="Public Sans" w:eastAsia="Public Sans" w:hAnsi="Public Sans"/>
        <w:b w:val="1"/>
        <w:color w:val="4d4d4f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0</wp:posOffset>
          </wp:positionV>
          <wp:extent cx="7791450" cy="1200012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7" l="0" r="0" t="87"/>
                  <a:stretch>
                    <a:fillRect/>
                  </a:stretch>
                </pic:blipFill>
                <pic:spPr>
                  <a:xfrm>
                    <a:off x="0" y="0"/>
                    <a:ext cx="7791450" cy="12000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rPr>
        <w:rFonts w:ascii="Public Sans" w:cs="Public Sans" w:eastAsia="Public Sans" w:hAnsi="Public Sans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Public Sans" w:cs="Public Sans" w:eastAsia="Public Sans" w:hAnsi="Public Sans"/>
        <w:color w:val="4e4e51"/>
        <w:sz w:val="22"/>
        <w:szCs w:val="22"/>
        <w:lang w:val="en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ind w:left="-20" w:firstLine="0"/>
    </w:pPr>
    <w:rPr>
      <w:rFonts w:ascii="Public Sans" w:cs="Public Sans" w:eastAsia="Public Sans" w:hAnsi="Public Sans"/>
      <w:b w:val="1"/>
      <w:color w:val="3c1053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b w:val="1"/>
      <w:color w:val="017f92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="240" w:lineRule="auto"/>
    </w:pPr>
    <w:rPr>
      <w:b w:val="1"/>
      <w:color w:val="4d4d4f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/>
  </w:style>
  <w:style w:type="paragraph" w:styleId="Title">
    <w:name w:val="Title"/>
    <w:basedOn w:val="Normal"/>
    <w:next w:val="Normal"/>
    <w:pPr>
      <w:keepNext w:val="1"/>
      <w:keepLines w:val="1"/>
      <w:spacing w:after="0" w:before="200" w:line="240" w:lineRule="auto"/>
    </w:pPr>
    <w:rPr>
      <w:rFonts w:ascii="Public Sans" w:cs="Public Sans" w:eastAsia="Public Sans" w:hAnsi="Public Sans"/>
      <w:b w:val="1"/>
      <w:color w:val="3c1053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Public Sans Medium" w:cs="Public Sans Medium" w:eastAsia="Public Sans Medium" w:hAnsi="Public Sans Medium"/>
      <w:color w:val="3c1053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ublicSansMedium-regular.ttf"/><Relationship Id="rId2" Type="http://schemas.openxmlformats.org/officeDocument/2006/relationships/font" Target="fonts/PublicSansMedium-bold.ttf"/><Relationship Id="rId3" Type="http://schemas.openxmlformats.org/officeDocument/2006/relationships/font" Target="fonts/PublicSansMedium-italic.ttf"/><Relationship Id="rId4" Type="http://schemas.openxmlformats.org/officeDocument/2006/relationships/font" Target="fonts/PublicSansMedium-boldItalic.ttf"/><Relationship Id="rId5" Type="http://schemas.openxmlformats.org/officeDocument/2006/relationships/font" Target="fonts/PublicSans-regular.ttf"/><Relationship Id="rId6" Type="http://schemas.openxmlformats.org/officeDocument/2006/relationships/font" Target="fonts/PublicSans-bold.ttf"/><Relationship Id="rId7" Type="http://schemas.openxmlformats.org/officeDocument/2006/relationships/font" Target="fonts/PublicSans-italic.ttf"/><Relationship Id="rId8" Type="http://schemas.openxmlformats.org/officeDocument/2006/relationships/font" Target="fonts/Public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doe.louisiana.gov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