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04" w:rsidRDefault="00A03DF7">
      <w:pPr>
        <w:tabs>
          <w:tab w:val="left" w:pos="3780"/>
        </w:tabs>
        <w:spacing w:after="200" w:line="276" w:lineRule="auto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Teacher and Principal of the Year Selection Process Rubric</w:t>
      </w:r>
      <w:r>
        <w:rPr>
          <w:rFonts w:ascii="Public Sans" w:eastAsia="Public Sans" w:hAnsi="Public Sans" w:cs="Public Sans"/>
          <w:color w:val="4E4E51"/>
        </w:rPr>
        <w:t xml:space="preserve"> (The rubric is to be used holistically across all application components.)</w:t>
      </w:r>
    </w:p>
    <w:p w:rsidR="00C55704" w:rsidRDefault="00A03DF7">
      <w:pPr>
        <w:tabs>
          <w:tab w:val="left" w:pos="3780"/>
        </w:tabs>
        <w:spacing w:line="276" w:lineRule="auto"/>
        <w:rPr>
          <w:rFonts w:ascii="Public Sans" w:eastAsia="Public Sans" w:hAnsi="Public Sans" w:cs="Public Sans"/>
          <w:color w:val="4E4E51"/>
          <w:u w:val="single"/>
        </w:rPr>
      </w:pPr>
      <w:r>
        <w:rPr>
          <w:rFonts w:ascii="Public Sans" w:eastAsia="Public Sans" w:hAnsi="Public Sans" w:cs="Public Sans"/>
          <w:color w:val="4E4E51"/>
        </w:rPr>
        <w:t>Candidate’s Name</w:t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</w:rPr>
        <w:t>School System Name</w:t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</w:rPr>
        <w:t>SCORE=</w:t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</w:p>
    <w:p w:rsidR="00910419" w:rsidRDefault="00910419">
      <w:pPr>
        <w:tabs>
          <w:tab w:val="left" w:pos="3780"/>
        </w:tabs>
        <w:spacing w:line="276" w:lineRule="auto"/>
        <w:rPr>
          <w:rFonts w:ascii="Public Sans" w:eastAsia="Public Sans" w:hAnsi="Public Sans" w:cs="Public Sans"/>
          <w:color w:val="4E4E51"/>
        </w:rPr>
      </w:pPr>
    </w:p>
    <w:p w:rsidR="00910419" w:rsidRDefault="00910419" w:rsidP="00910419">
      <w:pPr>
        <w:pStyle w:val="NormalWeb"/>
        <w:spacing w:before="240" w:beforeAutospacing="0" w:after="240" w:afterAutospacing="0"/>
        <w:jc w:val="both"/>
      </w:pPr>
      <w:r>
        <w:rPr>
          <w:rFonts w:ascii="Public Sans" w:hAnsi="Public Sans"/>
          <w:color w:val="4E4E51"/>
          <w:sz w:val="22"/>
          <w:szCs w:val="22"/>
        </w:rPr>
        <w:t>State-level candidates are scored on the following criteria. As such, recommendations should provide evidence of one or more of the following criteria. Addressing additional information is also acceptable. </w:t>
      </w:r>
    </w:p>
    <w:p w:rsidR="00910419" w:rsidRDefault="00910419" w:rsidP="00910419">
      <w:pPr>
        <w:pStyle w:val="NormalWeb"/>
        <w:numPr>
          <w:ilvl w:val="0"/>
          <w:numId w:val="1"/>
        </w:numPr>
        <w:spacing w:before="0" w:beforeAutospacing="0" w:after="0" w:afterAutospacing="0"/>
        <w:ind w:left="450"/>
        <w:textAlignment w:val="baseline"/>
        <w:rPr>
          <w:rFonts w:ascii="Calibri" w:hAnsi="Calibri" w:cs="Calibri"/>
          <w:color w:val="4E4E51"/>
          <w:sz w:val="22"/>
          <w:szCs w:val="22"/>
        </w:rPr>
      </w:pP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 xml:space="preserve">Demonstrates </w:t>
      </w: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>excellence and expertise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 xml:space="preserve"> in the field, </w:t>
      </w: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 xml:space="preserve">guiding students 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 xml:space="preserve">(and for principals, also teachers) of </w:t>
      </w: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>all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 xml:space="preserve"> backgrounds and abilities to </w:t>
      </w: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>achieve success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>. </w:t>
      </w:r>
    </w:p>
    <w:p w:rsidR="00910419" w:rsidRDefault="00910419" w:rsidP="00910419">
      <w:pPr>
        <w:pStyle w:val="NormalWeb"/>
        <w:numPr>
          <w:ilvl w:val="0"/>
          <w:numId w:val="1"/>
        </w:numPr>
        <w:spacing w:before="0" w:beforeAutospacing="0" w:after="0" w:afterAutospacing="0"/>
        <w:ind w:left="450"/>
        <w:textAlignment w:val="baseline"/>
        <w:rPr>
          <w:rFonts w:ascii="Arial" w:hAnsi="Arial" w:cs="Arial"/>
          <w:color w:val="4E4E51"/>
          <w:sz w:val="22"/>
          <w:szCs w:val="22"/>
        </w:rPr>
      </w:pP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Demonstrates 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>leadership</w:t>
      </w: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 and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 xml:space="preserve"> innovation </w:t>
      </w: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in and outside of the school building walls, creating pathways for 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>students/teachers to excel</w:t>
      </w: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>.</w:t>
      </w:r>
    </w:p>
    <w:p w:rsidR="00910419" w:rsidRDefault="00910419" w:rsidP="00910419">
      <w:pPr>
        <w:pStyle w:val="NormalWeb"/>
        <w:numPr>
          <w:ilvl w:val="0"/>
          <w:numId w:val="1"/>
        </w:numPr>
        <w:spacing w:before="0" w:beforeAutospacing="0" w:after="0" w:afterAutospacing="0"/>
        <w:ind w:left="450"/>
        <w:textAlignment w:val="baseline"/>
        <w:rPr>
          <w:rFonts w:ascii="Calibri" w:hAnsi="Calibri" w:cs="Calibri"/>
          <w:color w:val="4E4E51"/>
        </w:rPr>
      </w:pP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 xml:space="preserve">Builds collaborative relationships 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 xml:space="preserve">with </w:t>
      </w: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>colleagues, students, and families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 xml:space="preserve"> to create a </w:t>
      </w: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>school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 xml:space="preserve"> </w:t>
      </w: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 xml:space="preserve">environment 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>that is respectful, inclusive, and</w:t>
      </w:r>
      <w:r>
        <w:rPr>
          <w:rFonts w:ascii="Public Sans" w:hAnsi="Public Sans" w:cs="Calibri"/>
          <w:b/>
          <w:bCs/>
          <w:color w:val="4E4E51"/>
          <w:sz w:val="22"/>
          <w:szCs w:val="22"/>
          <w:shd w:val="clear" w:color="auto" w:fill="FFFFFF"/>
        </w:rPr>
        <w:t xml:space="preserve"> positively impacts</w:t>
      </w:r>
      <w:r>
        <w:rPr>
          <w:rFonts w:ascii="Public Sans" w:hAnsi="Public Sans" w:cs="Calibri"/>
          <w:color w:val="4E4E51"/>
          <w:sz w:val="22"/>
          <w:szCs w:val="22"/>
          <w:shd w:val="clear" w:color="auto" w:fill="FFFFFF"/>
        </w:rPr>
        <w:t xml:space="preserve"> student/teacher growth and achievement.</w:t>
      </w:r>
    </w:p>
    <w:p w:rsidR="00910419" w:rsidRDefault="00910419" w:rsidP="00910419">
      <w:pPr>
        <w:pStyle w:val="NormalWeb"/>
        <w:numPr>
          <w:ilvl w:val="0"/>
          <w:numId w:val="1"/>
        </w:numPr>
        <w:spacing w:before="0" w:beforeAutospacing="0" w:after="0" w:afterAutospacing="0"/>
        <w:ind w:left="450"/>
        <w:textAlignment w:val="baseline"/>
        <w:rPr>
          <w:rFonts w:ascii="Arial" w:hAnsi="Arial" w:cs="Arial"/>
          <w:color w:val="4E4E51"/>
          <w:sz w:val="22"/>
          <w:szCs w:val="22"/>
        </w:rPr>
      </w:pP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>Deliberately connects</w:t>
      </w: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 the classroom/school to the 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>community</w:t>
      </w: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 to positively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 xml:space="preserve"> impact the students, school</w:t>
      </w:r>
      <w:r w:rsidR="008E254A"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>,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 xml:space="preserve"> and community. </w:t>
      </w:r>
    </w:p>
    <w:p w:rsidR="00910419" w:rsidRDefault="00910419" w:rsidP="00910419">
      <w:pPr>
        <w:pStyle w:val="NormalWeb"/>
        <w:numPr>
          <w:ilvl w:val="0"/>
          <w:numId w:val="1"/>
        </w:numPr>
        <w:spacing w:before="0" w:beforeAutospacing="0" w:after="200" w:afterAutospacing="0"/>
        <w:ind w:left="450"/>
        <w:textAlignment w:val="baseline"/>
        <w:rPr>
          <w:rFonts w:ascii="Arial" w:hAnsi="Arial" w:cs="Arial"/>
          <w:color w:val="4E4E51"/>
          <w:sz w:val="22"/>
          <w:szCs w:val="22"/>
        </w:rPr>
      </w:pP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Is 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>inspiring, compelling, professional,</w:t>
      </w: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 and expresses themselves in an 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>engaging and clear way</w:t>
      </w: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, and demonstrates the ability to </w:t>
      </w:r>
      <w:r>
        <w:rPr>
          <w:rFonts w:ascii="Public Sans" w:hAnsi="Public Sans" w:cs="Arial"/>
          <w:b/>
          <w:bCs/>
          <w:color w:val="4E4E51"/>
          <w:sz w:val="22"/>
          <w:szCs w:val="22"/>
          <w:shd w:val="clear" w:color="auto" w:fill="FFFFFF"/>
        </w:rPr>
        <w:t>connect with and represent</w:t>
      </w:r>
      <w:r>
        <w:rPr>
          <w:rFonts w:ascii="Public Sans" w:hAnsi="Public Sans" w:cs="Arial"/>
          <w:color w:val="4E4E51"/>
          <w:sz w:val="22"/>
          <w:szCs w:val="22"/>
          <w:shd w:val="clear" w:color="auto" w:fill="FFFFFF"/>
        </w:rPr>
        <w:t xml:space="preserve"> the state.</w:t>
      </w:r>
    </w:p>
    <w:p w:rsidR="00910419" w:rsidRDefault="00910419">
      <w:pPr>
        <w:tabs>
          <w:tab w:val="left" w:pos="3780"/>
        </w:tabs>
        <w:spacing w:line="276" w:lineRule="auto"/>
        <w:rPr>
          <w:rFonts w:ascii="Public Sans" w:eastAsia="Public Sans" w:hAnsi="Public Sans" w:cs="Public Sans"/>
          <w:color w:val="4E4E51"/>
        </w:rPr>
      </w:pPr>
    </w:p>
    <w:tbl>
      <w:tblPr>
        <w:tblStyle w:val="a"/>
        <w:tblpPr w:leftFromText="180" w:rightFromText="180" w:topFromText="180" w:bottomFromText="180" w:vertAnchor="text" w:tblpX="-120" w:tblpY="90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2625"/>
        <w:gridCol w:w="2670"/>
        <w:gridCol w:w="2595"/>
        <w:gridCol w:w="2955"/>
        <w:gridCol w:w="1155"/>
      </w:tblGrid>
      <w:tr w:rsidR="00C55704">
        <w:tc>
          <w:tcPr>
            <w:tcW w:w="247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lastRenderedPageBreak/>
              <w:t>Key Competency</w:t>
            </w:r>
          </w:p>
        </w:tc>
        <w:tc>
          <w:tcPr>
            <w:tcW w:w="262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670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59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29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1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SCORE</w:t>
            </w:r>
          </w:p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1-4</w:t>
            </w:r>
          </w:p>
        </w:tc>
      </w:tr>
      <w:tr w:rsidR="00C55704">
        <w:trPr>
          <w:trHeight w:val="2580"/>
        </w:trPr>
        <w:tc>
          <w:tcPr>
            <w:tcW w:w="2475" w:type="dxa"/>
          </w:tcPr>
          <w:p w:rsidR="00C55704" w:rsidRDefault="00A03DF7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 xml:space="preserve">1. The candidate 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>demonstrates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 xml:space="preserve"> excellence and expertise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 in the field,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guiding students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 (and for principals, also teachers) of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all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 backgrounds and abilities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achieve success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. </w:t>
            </w: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</w:tc>
        <w:tc>
          <w:tcPr>
            <w:tcW w:w="2625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Demonstrates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little pedagogical and content knowledge</w:t>
            </w:r>
          </w:p>
          <w:p w:rsidR="00C55704" w:rsidRDefault="00A03DF7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 Does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not demonstrate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 xml:space="preserve"> </w:t>
            </w:r>
          </w:p>
          <w:p w:rsidR="00C55704" w:rsidRDefault="00A03DF7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high academic expectations</w:t>
            </w:r>
          </w:p>
          <w:p w:rsidR="00C55704" w:rsidRDefault="00A03DF7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 Does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not demonstrate recognition of students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of all backgrounds and abilities through instruction/leadership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Demonstrates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little evidence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of narrowing academic gaps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Does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not address a plan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for ensuring every student is on track academically </w:t>
            </w:r>
          </w:p>
          <w:p w:rsidR="00C55704" w:rsidRDefault="00C55704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670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Demonstrates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some pedagogical and content knowledge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Holds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moderately high academic expectations </w:t>
            </w:r>
          </w:p>
          <w:p w:rsidR="00C55704" w:rsidRDefault="00A03DF7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Demonstrates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some recognition of students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(and for principals also teachers) of all background and abilities through instruction/leadership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Narrows some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academic gaps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Describes a plan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for students to be on track academically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</w:t>
            </w:r>
          </w:p>
          <w:p w:rsidR="00C55704" w:rsidRDefault="00C55704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595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>The candidate: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Demonstrates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pedagogical and content knowledge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Holds themselves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 xml:space="preserve">high standards and creates fair and growth-oriented expectations 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yellow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Recognizes and values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students (and for principals also teachers) as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 xml:space="preserve">demonstrated through relevant instruction/leadership  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Narrows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academic/opportunity gaps</w:t>
            </w:r>
          </w:p>
          <w:p w:rsidR="00C55704" w:rsidRDefault="00A03DF7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Describes a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 xml:space="preserve">clear plan for ensuring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>every student is on track to a professional career, college degree, or service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2955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>The candidate: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Demonstrates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 xml:space="preserve">excellence and expertise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>in pedagogy and content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Holds themselves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 xml:space="preserve">high standards and creates achievable, fair, and growth-oriented expectations for all </w:t>
            </w:r>
          </w:p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bookmarkStart w:id="0" w:name="_3znysh7" w:colFirst="0" w:colLast="0"/>
            <w:bookmarkEnd w:id="0"/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Recognizes, values, and advocates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for students (and for principals also teachers) of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all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backgrounds and abilities through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deliberate and relevant instruction/leadership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 </w:t>
            </w:r>
          </w:p>
          <w:p w:rsidR="00C55704" w:rsidRDefault="00A03DF7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 xml:space="preserve">Eliminates/substantially narrows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academic/opportunity gaps </w:t>
            </w:r>
          </w:p>
          <w:p w:rsidR="00C55704" w:rsidRDefault="00A03DF7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Describes and demonstrates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a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>clear, impactful plan which ensures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  <w:highlight w:val="white"/>
              </w:rPr>
              <w:t xml:space="preserve"> every student is on track to a professional career, college degree, or service</w:t>
            </w:r>
          </w:p>
        </w:tc>
        <w:tc>
          <w:tcPr>
            <w:tcW w:w="1155" w:type="dxa"/>
          </w:tcPr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</w:tr>
      <w:tr w:rsidR="00C55704">
        <w:trPr>
          <w:trHeight w:val="915"/>
        </w:trPr>
        <w:tc>
          <w:tcPr>
            <w:tcW w:w="14475" w:type="dxa"/>
            <w:gridSpan w:val="6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Notes for Competency One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910419" w:rsidRDefault="00910419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910419" w:rsidRDefault="00910419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910419" w:rsidRDefault="00910419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910419" w:rsidRDefault="00910419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910419" w:rsidRDefault="00910419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910419" w:rsidRDefault="00910419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910419" w:rsidRDefault="00910419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</w:tr>
      <w:tr w:rsidR="00C55704">
        <w:tc>
          <w:tcPr>
            <w:tcW w:w="247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20"/>
                <w:szCs w:val="20"/>
              </w:rPr>
              <w:lastRenderedPageBreak/>
              <w:t>Key Competency</w:t>
            </w:r>
          </w:p>
        </w:tc>
        <w:tc>
          <w:tcPr>
            <w:tcW w:w="262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670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59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29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1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SCORE</w:t>
            </w:r>
          </w:p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1-4</w:t>
            </w:r>
          </w:p>
        </w:tc>
      </w:tr>
      <w:tr w:rsidR="00C55704">
        <w:trPr>
          <w:trHeight w:val="2580"/>
        </w:trPr>
        <w:tc>
          <w:tcPr>
            <w:tcW w:w="2475" w:type="dxa"/>
          </w:tcPr>
          <w:p w:rsidR="00C55704" w:rsidRDefault="00A03DF7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 xml:space="preserve">2. 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  <w:highlight w:val="white"/>
              </w:rPr>
              <w:t xml:space="preserve">Demonstrates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  <w:highlight w:val="white"/>
              </w:rPr>
              <w:t>leadership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  <w:highlight w:val="white"/>
              </w:rPr>
              <w:t xml:space="preserve"> and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  <w:highlight w:val="white"/>
              </w:rPr>
              <w:t xml:space="preserve"> innovation 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  <w:highlight w:val="white"/>
              </w:rPr>
              <w:t xml:space="preserve">in and outside of the school building walls, creating pathways for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  <w:highlight w:val="white"/>
              </w:rPr>
              <w:t>students/teachers to excel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  <w:highlight w:val="white"/>
              </w:rPr>
              <w:t>.</w:t>
            </w: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spacing w:line="242" w:lineRule="auto"/>
              <w:ind w:right="-2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 involved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professional communities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does not demonstrate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understanding of how these communities impact students and teachers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Does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 show evidence of innovation and growth mindset</w:t>
            </w:r>
          </w:p>
          <w:p w:rsidR="00C55704" w:rsidRDefault="00A03DF7">
            <w:pPr>
              <w:spacing w:line="242" w:lineRule="auto"/>
              <w:ind w:right="-2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 Does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 demonstrate impact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on the educational system and is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not involved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efforts to help students excel </w:t>
            </w:r>
          </w:p>
          <w:p w:rsidR="00C55704" w:rsidRDefault="00C55704">
            <w:pPr>
              <w:ind w:left="102" w:right="83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670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Shows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minimal involvement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in professional communities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demonstrates little understanding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of how these communities impact students and teachers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Shows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minimal evidence of innovation and growth mindset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 Demonstrates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minimal impact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on the educational system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little involvement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efforts to help students excel 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595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involved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efforts to engage in/lead professional communities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understands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how these communities can impact students and teachers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Demonstrates some innovation and growth mindset.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This is manifested inside and/or outside the school building walls and shows how the educator enhances student learning 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 Is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positively impacting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the education profession and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is involved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efforts to help students excel </w:t>
            </w:r>
          </w:p>
        </w:tc>
        <w:tc>
          <w:tcPr>
            <w:tcW w:w="2955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•Is a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leader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the profession who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understands and demonstrates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the importance of leading and engaging professional learning communities to both positively impact the classroom/school as well as the students, teachers, and the profession at large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Is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a leader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that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transforming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the educational profession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creating pathways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for students and teachers to excel in new, different, and/or impactful ways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Is an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innovator and lifelong learner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. This manifests itself inside and outside the school building walls and positively impacts students/teachers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2"/>
                <w:szCs w:val="12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 The educator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takes initiative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for using creativity and ingenuity to positively impact student learning and the education profession </w:t>
            </w:r>
          </w:p>
        </w:tc>
        <w:tc>
          <w:tcPr>
            <w:tcW w:w="1155" w:type="dxa"/>
          </w:tcPr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</w:tr>
      <w:tr w:rsidR="00C55704">
        <w:trPr>
          <w:trHeight w:val="900"/>
        </w:trPr>
        <w:tc>
          <w:tcPr>
            <w:tcW w:w="14475" w:type="dxa"/>
            <w:gridSpan w:val="6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Notes for Competency Two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</w:tr>
      <w:tr w:rsidR="00C55704">
        <w:trPr>
          <w:trHeight w:val="420"/>
        </w:trPr>
        <w:tc>
          <w:tcPr>
            <w:tcW w:w="247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lastRenderedPageBreak/>
              <w:t>Key Competency</w:t>
            </w:r>
          </w:p>
        </w:tc>
        <w:tc>
          <w:tcPr>
            <w:tcW w:w="262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670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59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29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1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SCORE 1-4</w:t>
            </w:r>
          </w:p>
        </w:tc>
      </w:tr>
      <w:tr w:rsidR="00C55704">
        <w:trPr>
          <w:trHeight w:val="2085"/>
        </w:trPr>
        <w:tc>
          <w:tcPr>
            <w:tcW w:w="2475" w:type="dxa"/>
          </w:tcPr>
          <w:p w:rsidR="00C55704" w:rsidRDefault="00A03DF7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 xml:space="preserve">3. The candidate builds collaborative relationships 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with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colleagues, students, and families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 to create a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 xml:space="preserve"> school environment that is 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>respectful, inclusive, and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 xml:space="preserve"> positively impacts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student growth and achievement.</w:t>
            </w: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spacing w:line="276" w:lineRule="auto"/>
              <w:ind w:left="360" w:hanging="720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spacing w:after="200" w:line="276" w:lineRule="auto"/>
              <w:ind w:left="360" w:hanging="720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</w:tc>
        <w:tc>
          <w:tcPr>
            <w:tcW w:w="2625" w:type="dxa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Does not collaborate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to enhance the learning and educational experiences of students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Does not build relationships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with colleagues, students, and families,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shows no involvement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creating a positive environment   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Communication is not clear,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and/or it is not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compelling</w:t>
            </w:r>
          </w:p>
          <w:p w:rsidR="00C55704" w:rsidRDefault="00C55704">
            <w:pPr>
              <w:ind w:right="-2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670" w:type="dxa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Minimally collaborates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to enhance the learning and educational experiences of students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Minimally builds relationships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with colleagues, students, and families,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shows little involvement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creating a positive environment   </w:t>
            </w:r>
          </w:p>
          <w:p w:rsidR="00C55704" w:rsidRDefault="00A03DF7">
            <w:pPr>
              <w:ind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Communication is generally,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but not completely,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clear,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and/or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compelling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Demonstrates collaboration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to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enhance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the learning and educational experiences of students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Builds relationships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with colleagues, students, and families, and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brings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groups of people together in order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create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a positive environment as well as establish a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safe learning environment 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Communicates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with stakeholders in a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somewhat clear, compelling, and impactful manner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ind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955" w:type="dxa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Exemplifies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how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collaboration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building meaningful relationships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with colleagues, students, and families positively impacts student growth and achievement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Demonstrates and shares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an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impactful plan for creating/inventing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ways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bring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groups of people together in order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create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a</w:t>
            </w:r>
            <w:r w:rsidR="001C6CFD"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n</w:t>
            </w:r>
            <w:bookmarkStart w:id="1" w:name="_GoBack"/>
            <w:bookmarkEnd w:id="1"/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environment of respect, achievement, and wellness as well as establish a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safe and thriving learning environment 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Communicates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with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all stakeholders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a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clear, compelling, and impactful manner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that leads to lifelong success</w:t>
            </w:r>
          </w:p>
        </w:tc>
        <w:tc>
          <w:tcPr>
            <w:tcW w:w="1155" w:type="dxa"/>
          </w:tcPr>
          <w:p w:rsidR="00C55704" w:rsidRDefault="00C55704">
            <w:pPr>
              <w:tabs>
                <w:tab w:val="left" w:pos="460"/>
              </w:tabs>
              <w:spacing w:before="11"/>
              <w:ind w:right="19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</w:tr>
      <w:tr w:rsidR="00C55704">
        <w:trPr>
          <w:trHeight w:val="2085"/>
        </w:trPr>
        <w:tc>
          <w:tcPr>
            <w:tcW w:w="14475" w:type="dxa"/>
            <w:gridSpan w:val="6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Notes for Competency Three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</w:tc>
      </w:tr>
      <w:tr w:rsidR="00C55704">
        <w:trPr>
          <w:trHeight w:val="435"/>
        </w:trPr>
        <w:tc>
          <w:tcPr>
            <w:tcW w:w="247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lastRenderedPageBreak/>
              <w:t>Key Competency</w:t>
            </w:r>
          </w:p>
        </w:tc>
        <w:tc>
          <w:tcPr>
            <w:tcW w:w="262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670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59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29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1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SCORE 1-4</w:t>
            </w:r>
          </w:p>
        </w:tc>
      </w:tr>
      <w:tr w:rsidR="00C55704">
        <w:trPr>
          <w:trHeight w:val="2085"/>
        </w:trPr>
        <w:tc>
          <w:tcPr>
            <w:tcW w:w="2475" w:type="dxa"/>
          </w:tcPr>
          <w:p w:rsidR="00C55704" w:rsidRDefault="00A03DF7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 xml:space="preserve">4. The candidate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  <w:highlight w:val="white"/>
              </w:rPr>
              <w:t>deliberately connects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  <w:highlight w:val="white"/>
              </w:rPr>
              <w:t xml:space="preserve"> the classroom/school to the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  <w:highlight w:val="white"/>
              </w:rPr>
              <w:t>community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  <w:highlight w:val="white"/>
              </w:rPr>
              <w:t xml:space="preserve"> to positively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  <w:highlight w:val="white"/>
              </w:rPr>
              <w:t xml:space="preserve"> impact the students, school, and community.</w:t>
            </w:r>
            <w:r>
              <w:rPr>
                <w:rFonts w:ascii="Public Sans" w:eastAsia="Public Sans" w:hAnsi="Public Sans" w:cs="Public Sans"/>
                <w:b/>
                <w:color w:val="4E4E51"/>
                <w:highlight w:val="white"/>
              </w:rPr>
              <w:t xml:space="preserve"> </w:t>
            </w: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spacing w:after="200" w:line="276" w:lineRule="auto"/>
              <w:ind w:left="360" w:hanging="720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</w:tc>
        <w:tc>
          <w:tcPr>
            <w:tcW w:w="2625" w:type="dxa"/>
          </w:tcPr>
          <w:p w:rsidR="00C55704" w:rsidRDefault="00A03DF7">
            <w:pPr>
              <w:ind w:left="102"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ind w:left="102"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ind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Does not connect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students/staff with the community in order to impact students</w:t>
            </w:r>
          </w:p>
          <w:p w:rsidR="00C55704" w:rsidRDefault="00A03DF7">
            <w:pPr>
              <w:ind w:right="166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Does not bring stakeholders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into the classroom/school and/or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takes the classroom to the community </w:t>
            </w:r>
          </w:p>
          <w:p w:rsidR="00C55704" w:rsidRDefault="00A03DF7">
            <w:pPr>
              <w:widowControl w:val="0"/>
              <w:ind w:right="20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Does not leverage stakeholders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/the community to enhance student learning</w:t>
            </w:r>
          </w:p>
          <w:p w:rsidR="00C55704" w:rsidRDefault="00C55704">
            <w:pPr>
              <w:ind w:left="102"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670" w:type="dxa"/>
          </w:tcPr>
          <w:p w:rsidR="00C55704" w:rsidRDefault="00A03DF7">
            <w:pPr>
              <w:ind w:left="102"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ind w:left="102"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ind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Minimally connects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students/staff with the community in order to impact students</w:t>
            </w:r>
          </w:p>
          <w:p w:rsidR="00C55704" w:rsidRDefault="00A03DF7">
            <w:pPr>
              <w:ind w:right="166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Minimally brings stakeholders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into the classroom/school and/or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takes the classroom to the community </w:t>
            </w:r>
          </w:p>
          <w:p w:rsidR="00C55704" w:rsidRDefault="00A03DF7">
            <w:pPr>
              <w:widowControl w:val="0"/>
              <w:ind w:right="20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Minimally leverages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stakeholders/the community to enhance student learning</w:t>
            </w:r>
          </w:p>
          <w:p w:rsidR="00C55704" w:rsidRDefault="00C55704">
            <w:pPr>
              <w:spacing w:line="242" w:lineRule="auto"/>
              <w:ind w:left="102" w:right="-2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595" w:type="dxa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widowControl w:val="0"/>
              <w:ind w:right="20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Connects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students/staff with the community in an effort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form connections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within and/or outside of the school in order to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impact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students, the school, and communities</w:t>
            </w:r>
          </w:p>
          <w:p w:rsidR="00C55704" w:rsidRDefault="00A03DF7">
            <w:pPr>
              <w:widowControl w:val="0"/>
              <w:ind w:right="206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Brings some stakeholders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into the classroom/school and/or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somewhat takes the classroom to the community </w:t>
            </w:r>
          </w:p>
          <w:p w:rsidR="00C55704" w:rsidRDefault="00A03DF7">
            <w:pPr>
              <w:widowControl w:val="0"/>
              <w:ind w:right="20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Leverages some stakeholders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/the community to enhance student learning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955" w:type="dxa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widowControl w:val="0"/>
              <w:ind w:right="20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Ensures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that education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transcends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the classroom/school by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  <w:highlight w:val="white"/>
              </w:rPr>
              <w:t xml:space="preserve">intentionally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connecting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students/staff with the community in order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positively impact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students, the school, and communities</w:t>
            </w:r>
          </w:p>
          <w:p w:rsidR="00C55704" w:rsidRDefault="00A03DF7">
            <w:pPr>
              <w:widowControl w:val="0"/>
              <w:ind w:right="20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Brings key stakeholder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s into the classroom/school and/or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takes the classroom to the community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order to foster a strong community at large </w:t>
            </w:r>
          </w:p>
          <w:p w:rsidR="00C55704" w:rsidRDefault="00A03DF7">
            <w:pPr>
              <w:widowControl w:val="0"/>
              <w:ind w:right="20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Leverages key stakeholders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/the community to broaden students’ horizons, open their eyes to career opportunities, and gain a greater understanding of the world</w:t>
            </w:r>
          </w:p>
        </w:tc>
        <w:tc>
          <w:tcPr>
            <w:tcW w:w="1155" w:type="dxa"/>
          </w:tcPr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</w:tr>
      <w:tr w:rsidR="00C55704">
        <w:trPr>
          <w:trHeight w:val="2085"/>
        </w:trPr>
        <w:tc>
          <w:tcPr>
            <w:tcW w:w="14475" w:type="dxa"/>
            <w:gridSpan w:val="6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Notes for Competency Four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bookmarkStart w:id="2" w:name="_30j0zll" w:colFirst="0" w:colLast="0"/>
            <w:bookmarkEnd w:id="2"/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</w:tc>
      </w:tr>
      <w:tr w:rsidR="00C55704">
        <w:trPr>
          <w:trHeight w:val="435"/>
        </w:trPr>
        <w:tc>
          <w:tcPr>
            <w:tcW w:w="247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lastRenderedPageBreak/>
              <w:t>Key Competency</w:t>
            </w:r>
          </w:p>
        </w:tc>
        <w:tc>
          <w:tcPr>
            <w:tcW w:w="262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1 (Ineffective)</w:t>
            </w:r>
          </w:p>
        </w:tc>
        <w:tc>
          <w:tcPr>
            <w:tcW w:w="2670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2 (Effective Emerging)</w:t>
            </w:r>
          </w:p>
        </w:tc>
        <w:tc>
          <w:tcPr>
            <w:tcW w:w="259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 xml:space="preserve">3 (Effective Proficient) </w:t>
            </w:r>
          </w:p>
        </w:tc>
        <w:tc>
          <w:tcPr>
            <w:tcW w:w="29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4 (Highly Effective)</w:t>
            </w:r>
          </w:p>
        </w:tc>
        <w:tc>
          <w:tcPr>
            <w:tcW w:w="1155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jc w:val="center"/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18"/>
                <w:szCs w:val="18"/>
              </w:rPr>
              <w:t>SCORE 1-4</w:t>
            </w:r>
          </w:p>
        </w:tc>
      </w:tr>
      <w:tr w:rsidR="00C55704">
        <w:trPr>
          <w:trHeight w:val="2085"/>
        </w:trPr>
        <w:tc>
          <w:tcPr>
            <w:tcW w:w="2475" w:type="dxa"/>
          </w:tcPr>
          <w:p w:rsidR="00C55704" w:rsidRDefault="00A03DF7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5. The candidate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inspiring, compelling, professional,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 and expresses themselves in an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engaging and clear way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, and demonstrates the ability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connect with and represent</w:t>
            </w:r>
            <w:r>
              <w:rPr>
                <w:rFonts w:ascii="Public Sans" w:eastAsia="Public Sans" w:hAnsi="Public Sans" w:cs="Public Sans"/>
                <w:color w:val="4E4E51"/>
                <w:sz w:val="20"/>
                <w:szCs w:val="20"/>
              </w:rPr>
              <w:t xml:space="preserve"> the state. </w:t>
            </w: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  <w:p w:rsidR="00C55704" w:rsidRDefault="00A03DF7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</w:t>
            </w: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ind w:right="-20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spacing w:after="200" w:line="276" w:lineRule="auto"/>
              <w:ind w:left="360" w:hanging="720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</w:tc>
        <w:tc>
          <w:tcPr>
            <w:tcW w:w="2625" w:type="dxa"/>
          </w:tcPr>
          <w:p w:rsidR="00C55704" w:rsidRDefault="00A03DF7">
            <w:pPr>
              <w:spacing w:line="242" w:lineRule="auto"/>
              <w:ind w:left="102" w:right="-2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spacing w:line="242" w:lineRule="auto"/>
              <w:ind w:left="102" w:right="-2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spacing w:line="242" w:lineRule="auto"/>
              <w:ind w:right="-20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Communication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 clear and/or it is not compelling</w:t>
            </w:r>
          </w:p>
          <w:p w:rsidR="00C55704" w:rsidRDefault="00A03DF7">
            <w:pPr>
              <w:ind w:right="166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Communicates a message that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 relevant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a wide range of audiences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Does not expresses a desire and capability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to speak on behalf of all educators in the state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ind w:left="102"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670" w:type="dxa"/>
          </w:tcPr>
          <w:p w:rsidR="00C55704" w:rsidRDefault="00A03DF7">
            <w:pPr>
              <w:spacing w:line="242" w:lineRule="auto"/>
              <w:ind w:left="102" w:right="-2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spacing w:line="242" w:lineRule="auto"/>
              <w:ind w:left="102" w:right="-20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spacing w:line="242" w:lineRule="auto"/>
              <w:ind w:right="-20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Communicates in a manner which is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generally, but not completely clear and/or compelling </w:t>
            </w:r>
          </w:p>
          <w:p w:rsidR="00C55704" w:rsidRDefault="00A03DF7">
            <w:pPr>
              <w:ind w:right="166"/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Communicates a message that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minimally relevant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some audiences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Minimally expresses a desire and capability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to speak on behalf of all educators in the state</w:t>
            </w:r>
          </w:p>
          <w:p w:rsidR="00C55704" w:rsidRDefault="00C55704">
            <w:pPr>
              <w:ind w:left="102" w:right="166"/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595" w:type="dxa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Communicates in a way which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somewhat engaging, inspiring, and impactful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 Communicates a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message that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conveys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the lived classroom experience that is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relevant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to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a wide range of audiences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Expresses a desire and capability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to speak on behalf of all educators in the state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 Presents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themselves in a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professional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manner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460"/>
              </w:tabs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  <w:tc>
          <w:tcPr>
            <w:tcW w:w="2955" w:type="dxa"/>
          </w:tcPr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The candidate:</w:t>
            </w:r>
          </w:p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  <w:p w:rsidR="00C55704" w:rsidRDefault="00A03DF7">
            <w:pP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Communicates in a way which is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engaging, inspiring, impactful, and unifying 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Communicates a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captivating and impactful message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that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resonates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with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all audiences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•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 Clearly conveys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the lived classroom experience and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communicates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>a message that is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 xml:space="preserve"> capable of attracting and retaining educators 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to the profession 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Expresses a strong desire and capability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to speak on behalf of all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educators and stakeholders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in the state</w:t>
            </w:r>
          </w:p>
          <w:p w:rsidR="00C55704" w:rsidRDefault="00A03DF7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•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Presents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themselves in a </w:t>
            </w: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professional and confident</w:t>
            </w:r>
            <w: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  <w:t xml:space="preserve"> manner</w:t>
            </w:r>
          </w:p>
        </w:tc>
        <w:tc>
          <w:tcPr>
            <w:tcW w:w="1155" w:type="dxa"/>
          </w:tcPr>
          <w:p w:rsidR="00C55704" w:rsidRDefault="00C55704">
            <w:pPr>
              <w:rPr>
                <w:rFonts w:ascii="Public Sans" w:eastAsia="Public Sans" w:hAnsi="Public Sans" w:cs="Public Sans"/>
                <w:color w:val="4E4E51"/>
                <w:sz w:val="18"/>
                <w:szCs w:val="18"/>
              </w:rPr>
            </w:pPr>
          </w:p>
        </w:tc>
      </w:tr>
      <w:tr w:rsidR="00C55704">
        <w:trPr>
          <w:trHeight w:val="2085"/>
        </w:trPr>
        <w:tc>
          <w:tcPr>
            <w:tcW w:w="14475" w:type="dxa"/>
            <w:gridSpan w:val="6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  <w:t>Notes for Competency Five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18"/>
                <w:szCs w:val="18"/>
              </w:rPr>
            </w:pPr>
          </w:p>
          <w:p w:rsidR="00C55704" w:rsidRDefault="00C55704">
            <w:pPr>
              <w:tabs>
                <w:tab w:val="left" w:pos="640"/>
                <w:tab w:val="left" w:pos="747"/>
                <w:tab w:val="left" w:pos="1068"/>
                <w:tab w:val="left" w:pos="1388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</w:tc>
      </w:tr>
    </w:tbl>
    <w:p w:rsidR="00C55704" w:rsidRDefault="00C55704">
      <w:pPr>
        <w:widowControl w:val="0"/>
        <w:spacing w:line="276" w:lineRule="auto"/>
        <w:rPr>
          <w:rFonts w:ascii="Public Sans" w:eastAsia="Public Sans" w:hAnsi="Public Sans" w:cs="Public Sans"/>
          <w:color w:val="4E4E51"/>
        </w:rPr>
      </w:pPr>
    </w:p>
    <w:tbl>
      <w:tblPr>
        <w:tblStyle w:val="a0"/>
        <w:tblW w:w="144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67"/>
        <w:gridCol w:w="817"/>
      </w:tblGrid>
      <w:tr w:rsidR="00C55704">
        <w:trPr>
          <w:trHeight w:val="360"/>
        </w:trPr>
        <w:tc>
          <w:tcPr>
            <w:tcW w:w="13667" w:type="dxa"/>
            <w:shd w:val="clear" w:color="auto" w:fill="017F92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FFFFFF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  <w:sz w:val="20"/>
                <w:szCs w:val="20"/>
              </w:rPr>
              <w:lastRenderedPageBreak/>
              <w:t>Final Notes and Score</w:t>
            </w:r>
          </w:p>
        </w:tc>
        <w:tc>
          <w:tcPr>
            <w:tcW w:w="817" w:type="dxa"/>
            <w:shd w:val="clear" w:color="auto" w:fill="017F92"/>
          </w:tcPr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</w:tc>
      </w:tr>
      <w:tr w:rsidR="00C55704">
        <w:trPr>
          <w:trHeight w:val="2415"/>
        </w:trPr>
        <w:tc>
          <w:tcPr>
            <w:tcW w:w="13667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 xml:space="preserve">Final Notes </w:t>
            </w:r>
          </w:p>
          <w:p w:rsidR="00C55704" w:rsidRDefault="00C55704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</w:p>
        </w:tc>
        <w:tc>
          <w:tcPr>
            <w:tcW w:w="817" w:type="dxa"/>
          </w:tcPr>
          <w:p w:rsidR="00C55704" w:rsidRDefault="00A03DF7">
            <w:pPr>
              <w:tabs>
                <w:tab w:val="left" w:pos="3780"/>
              </w:tabs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Public Sans" w:eastAsia="Public Sans" w:hAnsi="Public Sans" w:cs="Public Sans"/>
                <w:b/>
                <w:color w:val="4E4E51"/>
                <w:sz w:val="20"/>
                <w:szCs w:val="20"/>
              </w:rPr>
              <w:t>/20</w:t>
            </w:r>
          </w:p>
        </w:tc>
      </w:tr>
    </w:tbl>
    <w:p w:rsidR="00C55704" w:rsidRDefault="00C55704">
      <w:pPr>
        <w:widowControl w:val="0"/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C55704" w:rsidRDefault="00C55704">
      <w:pPr>
        <w:widowControl w:val="0"/>
        <w:spacing w:line="276" w:lineRule="auto"/>
        <w:rPr>
          <w:rFonts w:ascii="Public Sans" w:eastAsia="Public Sans" w:hAnsi="Public Sans" w:cs="Public Sans"/>
          <w:b/>
          <w:color w:val="4E4E51"/>
        </w:rPr>
      </w:pPr>
    </w:p>
    <w:p w:rsidR="00C55704" w:rsidRDefault="00A03DF7">
      <w:pPr>
        <w:widowControl w:val="0"/>
        <w:spacing w:line="276" w:lineRule="auto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2024-2025 School Year</w:t>
      </w:r>
    </w:p>
    <w:p w:rsidR="00C55704" w:rsidRDefault="00C55704">
      <w:pPr>
        <w:rPr>
          <w:rFonts w:ascii="Public Sans" w:eastAsia="Public Sans" w:hAnsi="Public Sans" w:cs="Public Sans"/>
          <w:color w:val="4E4E51"/>
        </w:rPr>
      </w:pPr>
      <w:bookmarkStart w:id="3" w:name="_rdp6po6bw2rm" w:colFirst="0" w:colLast="0"/>
      <w:bookmarkEnd w:id="3"/>
    </w:p>
    <w:p w:rsidR="00C55704" w:rsidRDefault="00C55704">
      <w:pPr>
        <w:rPr>
          <w:rFonts w:ascii="Public Sans" w:eastAsia="Public Sans" w:hAnsi="Public Sans" w:cs="Public Sans"/>
          <w:color w:val="4E4E51"/>
        </w:rPr>
      </w:pPr>
    </w:p>
    <w:sectPr w:rsidR="00C55704">
      <w:headerReference w:type="default" r:id="rId7"/>
      <w:footerReference w:type="default" r:id="rId8"/>
      <w:pgSz w:w="15840" w:h="12240" w:orient="landscape"/>
      <w:pgMar w:top="2880" w:right="720" w:bottom="720" w:left="720" w:header="360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54" w:rsidRDefault="00786254">
      <w:r>
        <w:separator/>
      </w:r>
    </w:p>
  </w:endnote>
  <w:endnote w:type="continuationSeparator" w:id="0">
    <w:p w:rsidR="00786254" w:rsidRDefault="0078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04" w:rsidRDefault="00A03DF7">
    <w:pPr>
      <w:tabs>
        <w:tab w:val="center" w:pos="4680"/>
        <w:tab w:val="right" w:pos="9360"/>
      </w:tabs>
    </w:pPr>
    <w:bookmarkStart w:id="4" w:name="_mud5nye8bpan" w:colFirst="0" w:colLast="0"/>
    <w:bookmarkEnd w:id="4"/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190500</wp:posOffset>
          </wp:positionV>
          <wp:extent cx="9601200" cy="685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42" b="242"/>
                  <a:stretch>
                    <a:fillRect/>
                  </a:stretch>
                </pic:blipFill>
                <pic:spPr>
                  <a:xfrm>
                    <a:off x="0" y="0"/>
                    <a:ext cx="960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5704" w:rsidRDefault="00C55704">
    <w:pPr>
      <w:tabs>
        <w:tab w:val="center" w:pos="4680"/>
        <w:tab w:val="right" w:pos="9360"/>
      </w:tabs>
      <w:ind w:left="-360" w:right="-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54" w:rsidRDefault="00786254">
      <w:r>
        <w:separator/>
      </w:r>
    </w:p>
  </w:footnote>
  <w:footnote w:type="continuationSeparator" w:id="0">
    <w:p w:rsidR="00786254" w:rsidRDefault="0078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04" w:rsidRDefault="00A03D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360" w:right="-360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9526</wp:posOffset>
          </wp:positionV>
          <wp:extent cx="9601200" cy="142049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0" cy="1420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6BC"/>
    <w:multiLevelType w:val="multilevel"/>
    <w:tmpl w:val="28D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04"/>
    <w:rsid w:val="001C6CFD"/>
    <w:rsid w:val="00786254"/>
    <w:rsid w:val="00872116"/>
    <w:rsid w:val="008E254A"/>
    <w:rsid w:val="00910419"/>
    <w:rsid w:val="00A03DF7"/>
    <w:rsid w:val="00C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0720"/>
  <w15:docId w15:val="{4773186D-63DF-456B-B292-375A562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104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1601</Words>
  <Characters>9128</Characters>
  <Application>Microsoft Office Word</Application>
  <DocSecurity>0</DocSecurity>
  <Lines>76</Lines>
  <Paragraphs>21</Paragraphs>
  <ScaleCrop>false</ScaleCrop>
  <Company>State of Louisiana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Stomps</cp:lastModifiedBy>
  <cp:revision>4</cp:revision>
  <dcterms:created xsi:type="dcterms:W3CDTF">2024-09-24T12:37:00Z</dcterms:created>
  <dcterms:modified xsi:type="dcterms:W3CDTF">2024-09-24T14:14:00Z</dcterms:modified>
</cp:coreProperties>
</file>