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650B2" w:rsidRDefault="00DB0209" w:rsidP="00D10AE9">
      <w:pPr>
        <w:spacing w:after="120" w:line="240" w:lineRule="auto"/>
        <w:ind w:left="360" w:right="720"/>
        <w:jc w:val="center"/>
        <w:rPr>
          <w:b/>
          <w:sz w:val="28"/>
          <w:szCs w:val="28"/>
        </w:rPr>
      </w:pPr>
      <w:r>
        <w:rPr>
          <w:noProof/>
        </w:rPr>
        <mc:AlternateContent>
          <mc:Choice Requires="wps">
            <w:drawing>
              <wp:anchor distT="0" distB="0" distL="114300" distR="114300" simplePos="0" relativeHeight="251659264" behindDoc="0" locked="0" layoutInCell="1" allowOverlap="1" wp14:anchorId="23E65766" wp14:editId="56B3B666">
                <wp:simplePos x="0" y="0"/>
                <wp:positionH relativeFrom="column">
                  <wp:posOffset>1905000</wp:posOffset>
                </wp:positionH>
                <wp:positionV relativeFrom="paragraph">
                  <wp:posOffset>-914400</wp:posOffset>
                </wp:positionV>
                <wp:extent cx="4953000" cy="647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3000"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0209" w:rsidRPr="00DB0209" w:rsidRDefault="005671CD" w:rsidP="00DB0209">
                            <w:pPr>
                              <w:spacing w:after="0" w:line="240" w:lineRule="auto"/>
                              <w:jc w:val="right"/>
                              <w:rPr>
                                <w:b/>
                                <w:sz w:val="28"/>
                                <w:szCs w:val="28"/>
                              </w:rPr>
                            </w:pPr>
                            <w:r>
                              <w:rPr>
                                <w:b/>
                                <w:sz w:val="28"/>
                                <w:szCs w:val="28"/>
                              </w:rPr>
                              <w:t>Charter School Pre-Opening</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0pt;margin-top:-1in;width:390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" fillcolor="white [3201]" stroked="f" strokeweight=".5pt">
                <v:textbox>
                  <w:txbxContent>
                    <w:p w:rsidR="00DB0209" w:rsidRPr="00DB0209" w:rsidRDefault="005671CD" w:rsidP="00DB0209">
                      <w:pPr>
                        <w:spacing w:after="0" w:line="240" w:lineRule="auto"/>
                        <w:jc w:val="right"/>
                        <w:rPr>
                          <w:b/>
                          <w:sz w:val="28"/>
                          <w:szCs w:val="28"/>
                        </w:rPr>
                      </w:pPr>
                      <w:r>
                        <w:rPr>
                          <w:b/>
                          <w:sz w:val="28"/>
                          <w:szCs w:val="28"/>
                        </w:rPr>
                        <w:t>Charter School Pre-Opening</w:t>
                      </w:r>
                    </w:p>
                  </w:txbxContent>
                </v:textbox>
              </v:shape>
            </w:pict>
          </mc:Fallback>
        </mc:AlternateContent>
      </w:r>
      <w:r w:rsidR="00D10AE9">
        <w:rPr>
          <w:b/>
          <w:sz w:val="28"/>
          <w:szCs w:val="28"/>
        </w:rPr>
        <w:t>Open Meetings Law</w:t>
      </w:r>
    </w:p>
    <w:p w:rsidR="00D10AE9" w:rsidRPr="00D10AE9" w:rsidRDefault="00D10AE9" w:rsidP="00D10AE9">
      <w:pPr>
        <w:spacing w:after="120" w:line="240" w:lineRule="auto"/>
        <w:ind w:left="360" w:right="720"/>
        <w:jc w:val="center"/>
        <w:rPr>
          <w:b/>
          <w:sz w:val="16"/>
          <w:szCs w:val="16"/>
        </w:rPr>
      </w:pPr>
    </w:p>
    <w:p w:rsidR="00D10AE9" w:rsidRPr="00D10AE9" w:rsidRDefault="00D10AE9" w:rsidP="00D10AE9">
      <w:pPr>
        <w:spacing w:line="240" w:lineRule="auto"/>
        <w:jc w:val="both"/>
        <w:rPr>
          <w:rFonts w:ascii="Arial Narrow" w:hAnsi="Arial Narrow"/>
          <w:i/>
        </w:rPr>
      </w:pPr>
      <w:r w:rsidRPr="00D10AE9">
        <w:rPr>
          <w:rFonts w:ascii="Arial Narrow" w:hAnsi="Arial Narrow"/>
          <w:i/>
        </w:rPr>
        <w:t>Charter school boards must adhere to La. R.S. 17:3976 and La. R.S. 42:11, which require that every meeting of a public body shall be open to the public, except when closed according to law.</w:t>
      </w:r>
    </w:p>
    <w:p w:rsidR="00D10AE9" w:rsidRDefault="00D10AE9" w:rsidP="00D10AE9">
      <w:pPr>
        <w:spacing w:after="60" w:line="240" w:lineRule="auto"/>
        <w:jc w:val="both"/>
        <w:rPr>
          <w:rFonts w:ascii="Arial Narrow" w:hAnsi="Arial Narrow"/>
          <w:b/>
        </w:rPr>
      </w:pPr>
      <w:r>
        <w:rPr>
          <w:rFonts w:ascii="Arial Narrow" w:hAnsi="Arial Narrow"/>
          <w:b/>
        </w:rPr>
        <w:t>Open Meetings Requirements</w:t>
      </w:r>
    </w:p>
    <w:tbl>
      <w:tblPr>
        <w:tblStyle w:val="TableGrid"/>
        <w:tblW w:w="0" w:type="auto"/>
        <w:tblInd w:w="108" w:type="dxa"/>
        <w:tblLook w:val="04A0" w:firstRow="1" w:lastRow="0" w:firstColumn="1" w:lastColumn="0" w:noHBand="0" w:noVBand="1"/>
      </w:tblPr>
      <w:tblGrid>
        <w:gridCol w:w="1530"/>
        <w:gridCol w:w="3560"/>
        <w:gridCol w:w="5710"/>
      </w:tblGrid>
      <w:tr w:rsidR="00D10AE9" w:rsidTr="00D10AE9">
        <w:tc>
          <w:tcPr>
            <w:tcW w:w="1530" w:type="dxa"/>
            <w:tcBorders>
              <w:top w:val="single" w:sz="4" w:space="0" w:color="auto"/>
              <w:left w:val="single" w:sz="4" w:space="0" w:color="auto"/>
              <w:bottom w:val="single" w:sz="4" w:space="0" w:color="auto"/>
              <w:right w:val="nil"/>
            </w:tcBorders>
            <w:vAlign w:val="center"/>
            <w:hideMark/>
          </w:tcPr>
          <w:p w:rsidR="00D10AE9" w:rsidRPr="00D10AE9" w:rsidRDefault="00D10AE9" w:rsidP="00D10AE9">
            <w:pPr>
              <w:spacing w:before="60" w:after="60"/>
              <w:rPr>
                <w:rFonts w:ascii="Arial Narrow" w:eastAsia="Times New Roman" w:hAnsi="Arial Narrow" w:cs="Times New Roman"/>
                <w:b/>
              </w:rPr>
            </w:pPr>
            <w:r w:rsidRPr="00D10AE9">
              <w:rPr>
                <w:rFonts w:ascii="Arial Narrow" w:hAnsi="Arial Narrow"/>
                <w:b/>
              </w:rPr>
              <w:t>Open Meetings</w:t>
            </w:r>
          </w:p>
        </w:tc>
        <w:tc>
          <w:tcPr>
            <w:tcW w:w="3560" w:type="dxa"/>
            <w:tcBorders>
              <w:top w:val="single" w:sz="4" w:space="0" w:color="auto"/>
              <w:left w:val="single" w:sz="4" w:space="0" w:color="auto"/>
              <w:bottom w:val="single" w:sz="4" w:space="0" w:color="auto"/>
              <w:right w:val="nil"/>
            </w:tcBorders>
            <w:hideMark/>
          </w:tcPr>
          <w:p w:rsidR="00D10AE9" w:rsidRPr="00D10AE9" w:rsidRDefault="00D10AE9" w:rsidP="00D10AE9">
            <w:pPr>
              <w:numPr>
                <w:ilvl w:val="0"/>
                <w:numId w:val="9"/>
              </w:numPr>
              <w:spacing w:before="60" w:after="60"/>
              <w:textAlignment w:val="baseline"/>
              <w:rPr>
                <w:rFonts w:ascii="Arial Narrow" w:hAnsi="Arial Narrow" w:cs="Calibri"/>
                <w:sz w:val="20"/>
                <w:szCs w:val="20"/>
              </w:rPr>
            </w:pPr>
            <w:r w:rsidRPr="00D10AE9">
              <w:rPr>
                <w:rFonts w:ascii="Arial Narrow" w:hAnsi="Arial Narrow" w:cs="Calibri"/>
                <w:sz w:val="20"/>
                <w:szCs w:val="20"/>
              </w:rPr>
              <w:t>Board meetings must be open to the public</w:t>
            </w:r>
          </w:p>
          <w:p w:rsidR="00D10AE9" w:rsidRPr="00D10AE9" w:rsidRDefault="00D10AE9" w:rsidP="00D10AE9">
            <w:pPr>
              <w:numPr>
                <w:ilvl w:val="0"/>
                <w:numId w:val="9"/>
              </w:numPr>
              <w:spacing w:before="60" w:after="60"/>
              <w:textAlignment w:val="baseline"/>
              <w:rPr>
                <w:rFonts w:ascii="Arial Narrow" w:hAnsi="Arial Narrow" w:cs="Calibri"/>
                <w:sz w:val="20"/>
                <w:szCs w:val="20"/>
              </w:rPr>
            </w:pPr>
            <w:r w:rsidRPr="00D10AE9">
              <w:rPr>
                <w:rFonts w:ascii="Arial Narrow" w:hAnsi="Arial Narrow" w:cs="Calibri"/>
                <w:sz w:val="20"/>
                <w:szCs w:val="20"/>
              </w:rPr>
              <w:t>Deliberations at these meetings must happen aloud</w:t>
            </w:r>
          </w:p>
          <w:p w:rsidR="00D10AE9" w:rsidRPr="00D10AE9" w:rsidRDefault="00D10AE9" w:rsidP="00D10AE9">
            <w:pPr>
              <w:numPr>
                <w:ilvl w:val="0"/>
                <w:numId w:val="9"/>
              </w:numPr>
              <w:spacing w:before="60" w:after="60"/>
              <w:textAlignment w:val="baseline"/>
              <w:rPr>
                <w:rFonts w:ascii="Arial Narrow" w:eastAsia="Times New Roman" w:hAnsi="Arial Narrow" w:cs="Calibri"/>
                <w:sz w:val="20"/>
                <w:szCs w:val="20"/>
              </w:rPr>
            </w:pPr>
            <w:r w:rsidRPr="00D10AE9">
              <w:rPr>
                <w:rFonts w:ascii="Arial Narrow" w:hAnsi="Arial Narrow" w:cs="Calibri"/>
                <w:sz w:val="20"/>
                <w:szCs w:val="20"/>
              </w:rPr>
              <w:t>Matters not on the agenda can only be discussed upon unanimous approval</w:t>
            </w:r>
          </w:p>
        </w:tc>
        <w:tc>
          <w:tcPr>
            <w:tcW w:w="5710" w:type="dxa"/>
            <w:tcBorders>
              <w:top w:val="single" w:sz="4" w:space="0" w:color="auto"/>
              <w:left w:val="nil"/>
              <w:bottom w:val="single" w:sz="4" w:space="0" w:color="auto"/>
              <w:right w:val="single" w:sz="4" w:space="0" w:color="auto"/>
            </w:tcBorders>
            <w:hideMark/>
          </w:tcPr>
          <w:p w:rsidR="00D10AE9" w:rsidRPr="00D10AE9" w:rsidRDefault="00D10AE9" w:rsidP="00D10AE9">
            <w:pPr>
              <w:numPr>
                <w:ilvl w:val="0"/>
                <w:numId w:val="9"/>
              </w:numPr>
              <w:spacing w:before="60" w:after="60"/>
              <w:textAlignment w:val="baseline"/>
              <w:rPr>
                <w:rFonts w:ascii="Arial Narrow" w:hAnsi="Arial Narrow" w:cs="Calibri"/>
                <w:sz w:val="20"/>
                <w:szCs w:val="20"/>
              </w:rPr>
            </w:pPr>
            <w:r w:rsidRPr="00D10AE9">
              <w:rPr>
                <w:rFonts w:ascii="Arial Narrow" w:hAnsi="Arial Narrow" w:cs="Calibri"/>
                <w:sz w:val="20"/>
                <w:szCs w:val="20"/>
              </w:rPr>
              <w:t>Agendas cannot be altered within 24 hours of the meeting</w:t>
            </w:r>
          </w:p>
          <w:p w:rsidR="00D10AE9" w:rsidRPr="00D10AE9" w:rsidRDefault="00D10AE9" w:rsidP="00D10AE9">
            <w:pPr>
              <w:numPr>
                <w:ilvl w:val="0"/>
                <w:numId w:val="9"/>
              </w:numPr>
              <w:spacing w:before="60" w:after="60"/>
              <w:textAlignment w:val="baseline"/>
              <w:rPr>
                <w:rFonts w:ascii="Arial Narrow" w:eastAsia="Times New Roman" w:hAnsi="Arial Narrow" w:cs="Calibri"/>
                <w:sz w:val="20"/>
                <w:szCs w:val="20"/>
              </w:rPr>
            </w:pPr>
            <w:r w:rsidRPr="00D10AE9">
              <w:rPr>
                <w:rFonts w:ascii="Arial Narrow" w:hAnsi="Arial Narrow" w:cs="Calibri"/>
                <w:sz w:val="20"/>
                <w:szCs w:val="20"/>
              </w:rPr>
              <w:t>Boards must allow public comment before any votes are taken</w:t>
            </w:r>
          </w:p>
        </w:tc>
      </w:tr>
      <w:tr w:rsidR="00D10AE9" w:rsidTr="00D10AE9">
        <w:trPr>
          <w:trHeight w:val="1025"/>
        </w:trPr>
        <w:tc>
          <w:tcPr>
            <w:tcW w:w="1530" w:type="dxa"/>
            <w:tcBorders>
              <w:top w:val="single" w:sz="4" w:space="0" w:color="auto"/>
              <w:left w:val="single" w:sz="4" w:space="0" w:color="auto"/>
              <w:bottom w:val="single" w:sz="4" w:space="0" w:color="auto"/>
              <w:right w:val="nil"/>
            </w:tcBorders>
            <w:vAlign w:val="center"/>
            <w:hideMark/>
          </w:tcPr>
          <w:p w:rsidR="00D10AE9" w:rsidRPr="00D10AE9" w:rsidRDefault="00D10AE9" w:rsidP="00D10AE9">
            <w:pPr>
              <w:spacing w:before="60" w:after="60"/>
              <w:rPr>
                <w:rFonts w:ascii="Arial Narrow" w:eastAsia="Times New Roman" w:hAnsi="Arial Narrow" w:cs="Times New Roman"/>
                <w:b/>
              </w:rPr>
            </w:pPr>
            <w:r w:rsidRPr="00D10AE9">
              <w:rPr>
                <w:rFonts w:ascii="Arial Narrow" w:hAnsi="Arial Narrow"/>
                <w:b/>
              </w:rPr>
              <w:t>Public Notice</w:t>
            </w:r>
          </w:p>
        </w:tc>
        <w:tc>
          <w:tcPr>
            <w:tcW w:w="3560" w:type="dxa"/>
            <w:tcBorders>
              <w:top w:val="single" w:sz="4" w:space="0" w:color="auto"/>
              <w:left w:val="single" w:sz="4" w:space="0" w:color="auto"/>
              <w:bottom w:val="single" w:sz="4" w:space="0" w:color="auto"/>
              <w:right w:val="nil"/>
            </w:tcBorders>
            <w:hideMark/>
          </w:tcPr>
          <w:p w:rsidR="00D10AE9" w:rsidRPr="00D10AE9" w:rsidRDefault="00D10AE9" w:rsidP="00D10AE9">
            <w:pPr>
              <w:numPr>
                <w:ilvl w:val="0"/>
                <w:numId w:val="10"/>
              </w:numPr>
              <w:spacing w:before="60" w:after="60"/>
              <w:textAlignment w:val="baseline"/>
              <w:rPr>
                <w:rFonts w:ascii="Arial Narrow" w:hAnsi="Arial Narrow" w:cs="Calibri"/>
                <w:sz w:val="20"/>
                <w:szCs w:val="20"/>
              </w:rPr>
            </w:pPr>
            <w:r w:rsidRPr="00D10AE9">
              <w:rPr>
                <w:rFonts w:ascii="Arial Narrow" w:hAnsi="Arial Narrow" w:cs="Calibri"/>
                <w:sz w:val="20"/>
                <w:szCs w:val="20"/>
              </w:rPr>
              <w:t>Written public notice of meetings must be available in the board’s principal’s office or the meeting location, or published in any official school journal, &amp; mailed to any news media that request notification.</w:t>
            </w:r>
          </w:p>
          <w:p w:rsidR="00D10AE9" w:rsidRPr="00D10AE9" w:rsidRDefault="00D10AE9" w:rsidP="00D10AE9">
            <w:pPr>
              <w:numPr>
                <w:ilvl w:val="0"/>
                <w:numId w:val="10"/>
              </w:numPr>
              <w:spacing w:before="60" w:after="60"/>
              <w:textAlignment w:val="baseline"/>
              <w:rPr>
                <w:rFonts w:ascii="Arial Narrow" w:eastAsia="Times New Roman" w:hAnsi="Arial Narrow" w:cs="Calibri"/>
                <w:sz w:val="20"/>
                <w:szCs w:val="20"/>
              </w:rPr>
            </w:pPr>
            <w:r>
              <w:rPr>
                <w:rFonts w:ascii="Arial Narrow" w:hAnsi="Arial Narrow" w:cs="Calibri"/>
                <w:sz w:val="20"/>
                <w:szCs w:val="20"/>
              </w:rPr>
              <w:t>If the school has a website, p</w:t>
            </w:r>
            <w:r w:rsidRPr="00D10AE9">
              <w:rPr>
                <w:rFonts w:ascii="Arial Narrow" w:hAnsi="Arial Narrow" w:cs="Calibri"/>
                <w:sz w:val="20"/>
                <w:szCs w:val="20"/>
              </w:rPr>
              <w:t xml:space="preserve">ublic notice must be made available on the </w:t>
            </w:r>
            <w:r>
              <w:rPr>
                <w:rFonts w:ascii="Arial Narrow" w:hAnsi="Arial Narrow" w:cs="Calibri"/>
                <w:sz w:val="20"/>
                <w:szCs w:val="20"/>
              </w:rPr>
              <w:t>website.</w:t>
            </w:r>
          </w:p>
        </w:tc>
        <w:tc>
          <w:tcPr>
            <w:tcW w:w="5710" w:type="dxa"/>
            <w:tcBorders>
              <w:top w:val="single" w:sz="4" w:space="0" w:color="auto"/>
              <w:left w:val="nil"/>
              <w:bottom w:val="single" w:sz="4" w:space="0" w:color="auto"/>
              <w:right w:val="single" w:sz="4" w:space="0" w:color="auto"/>
            </w:tcBorders>
            <w:hideMark/>
          </w:tcPr>
          <w:p w:rsidR="00D10AE9" w:rsidRPr="00D10AE9" w:rsidRDefault="00D10AE9" w:rsidP="00D10AE9">
            <w:pPr>
              <w:numPr>
                <w:ilvl w:val="0"/>
                <w:numId w:val="10"/>
              </w:numPr>
              <w:spacing w:before="60" w:after="60"/>
              <w:textAlignment w:val="baseline"/>
              <w:rPr>
                <w:rFonts w:ascii="Arial Narrow" w:hAnsi="Arial Narrow" w:cs="Calibri"/>
                <w:sz w:val="20"/>
                <w:szCs w:val="20"/>
              </w:rPr>
            </w:pPr>
            <w:r w:rsidRPr="00D10AE9">
              <w:rPr>
                <w:rFonts w:ascii="Arial Narrow" w:hAnsi="Arial Narrow" w:cs="Calibri"/>
                <w:sz w:val="20"/>
                <w:szCs w:val="20"/>
              </w:rPr>
              <w:t>At the beginning of each calendar year, school boards must provide written public notice of their regular meetings, including dates, times, &amp; locations.</w:t>
            </w:r>
          </w:p>
          <w:p w:rsidR="00D10AE9" w:rsidRPr="00D10AE9" w:rsidRDefault="00D10AE9" w:rsidP="00D10AE9">
            <w:pPr>
              <w:numPr>
                <w:ilvl w:val="0"/>
                <w:numId w:val="10"/>
              </w:numPr>
              <w:spacing w:before="60" w:after="60"/>
              <w:textAlignment w:val="baseline"/>
              <w:rPr>
                <w:rFonts w:ascii="Arial Narrow" w:eastAsia="Times New Roman" w:hAnsi="Arial Narrow" w:cs="Calibri"/>
                <w:sz w:val="20"/>
                <w:szCs w:val="20"/>
              </w:rPr>
            </w:pPr>
            <w:r w:rsidRPr="00D10AE9">
              <w:rPr>
                <w:rFonts w:ascii="Arial Narrow" w:hAnsi="Arial Narrow" w:cs="Calibri"/>
                <w:sz w:val="20"/>
                <w:szCs w:val="20"/>
              </w:rPr>
              <w:t>Written public notice of any regular, special, or rescheduled meeting must be given no later than 24 hours before the meeting, and include the agenda, date, time, &amp; place of the meeting</w:t>
            </w:r>
          </w:p>
        </w:tc>
      </w:tr>
    </w:tbl>
    <w:p w:rsidR="00D10AE9" w:rsidRDefault="00D10AE9" w:rsidP="00D10AE9">
      <w:pPr>
        <w:jc w:val="both"/>
        <w:rPr>
          <w:rFonts w:ascii="Arial Narrow" w:hAnsi="Arial Narrow"/>
          <w:b/>
        </w:rPr>
      </w:pPr>
    </w:p>
    <w:p w:rsidR="00D10AE9" w:rsidRDefault="00D10AE9" w:rsidP="00D10AE9">
      <w:pPr>
        <w:spacing w:after="60" w:line="240" w:lineRule="auto"/>
        <w:jc w:val="both"/>
        <w:rPr>
          <w:rFonts w:ascii="Arial Narrow" w:hAnsi="Arial Narrow"/>
          <w:b/>
        </w:rPr>
      </w:pPr>
      <w:r>
        <w:rPr>
          <w:rFonts w:ascii="Arial Narrow" w:hAnsi="Arial Narrow"/>
          <w:b/>
        </w:rPr>
        <w:t>Executive Session Requirements</w:t>
      </w:r>
    </w:p>
    <w:tbl>
      <w:tblPr>
        <w:tblStyle w:val="TableGrid"/>
        <w:tblW w:w="0" w:type="auto"/>
        <w:tblInd w:w="108" w:type="dxa"/>
        <w:tblLook w:val="04A0" w:firstRow="1" w:lastRow="0" w:firstColumn="1" w:lastColumn="0" w:noHBand="0" w:noVBand="1"/>
      </w:tblPr>
      <w:tblGrid>
        <w:gridCol w:w="10800"/>
      </w:tblGrid>
      <w:tr w:rsidR="00D10AE9" w:rsidTr="00D10AE9">
        <w:trPr>
          <w:trHeight w:val="1040"/>
        </w:trPr>
        <w:tc>
          <w:tcPr>
            <w:tcW w:w="10800" w:type="dxa"/>
            <w:tcBorders>
              <w:top w:val="single" w:sz="4" w:space="0" w:color="auto"/>
              <w:left w:val="single" w:sz="4" w:space="0" w:color="auto"/>
              <w:bottom w:val="single" w:sz="4" w:space="0" w:color="auto"/>
              <w:right w:val="single" w:sz="4" w:space="0" w:color="auto"/>
            </w:tcBorders>
            <w:hideMark/>
          </w:tcPr>
          <w:p w:rsidR="00D10AE9" w:rsidRPr="00D10AE9" w:rsidRDefault="00D10AE9" w:rsidP="00D10AE9">
            <w:pPr>
              <w:numPr>
                <w:ilvl w:val="0"/>
                <w:numId w:val="11"/>
              </w:numPr>
              <w:spacing w:before="60" w:after="60"/>
              <w:textAlignment w:val="baseline"/>
              <w:rPr>
                <w:rFonts w:ascii="Arial Narrow" w:hAnsi="Arial Narrow" w:cs="Calibri"/>
                <w:sz w:val="20"/>
                <w:szCs w:val="20"/>
              </w:rPr>
            </w:pPr>
            <w:r w:rsidRPr="00D10AE9">
              <w:rPr>
                <w:rFonts w:ascii="Arial Narrow" w:hAnsi="Arial Narrow" w:cs="Calibri"/>
                <w:sz w:val="20"/>
                <w:szCs w:val="20"/>
              </w:rPr>
              <w:t>Executive Session can only be held for the following reasons:</w:t>
            </w:r>
          </w:p>
          <w:p w:rsidR="00D10AE9" w:rsidRPr="00D10AE9" w:rsidRDefault="00D10AE9" w:rsidP="00D10AE9">
            <w:pPr>
              <w:numPr>
                <w:ilvl w:val="1"/>
                <w:numId w:val="11"/>
              </w:numPr>
              <w:spacing w:before="60" w:after="60"/>
              <w:textAlignment w:val="baseline"/>
              <w:rPr>
                <w:rFonts w:ascii="Arial Narrow" w:hAnsi="Arial Narrow" w:cs="Calibri"/>
                <w:sz w:val="20"/>
                <w:szCs w:val="20"/>
              </w:rPr>
            </w:pPr>
            <w:r w:rsidRPr="00D10AE9">
              <w:rPr>
                <w:rFonts w:ascii="Arial Narrow" w:hAnsi="Arial Narrow" w:cs="Calibri"/>
                <w:sz w:val="20"/>
                <w:szCs w:val="20"/>
              </w:rPr>
              <w:t>To discuss the character, professional competence, physical or mental health of a person, provided that person is notified in writing at least 24 hours prior to the meeting and allowed to request that such discussion be held at an open meeting</w:t>
            </w:r>
          </w:p>
          <w:p w:rsidR="00D10AE9" w:rsidRPr="00D10AE9" w:rsidRDefault="00D10AE9" w:rsidP="00D10AE9">
            <w:pPr>
              <w:numPr>
                <w:ilvl w:val="1"/>
                <w:numId w:val="11"/>
              </w:numPr>
              <w:spacing w:before="60" w:after="60"/>
              <w:textAlignment w:val="baseline"/>
              <w:rPr>
                <w:rFonts w:ascii="Arial Narrow" w:hAnsi="Arial Narrow" w:cs="Calibri"/>
                <w:sz w:val="20"/>
                <w:szCs w:val="20"/>
              </w:rPr>
            </w:pPr>
            <w:r w:rsidRPr="00D10AE9">
              <w:rPr>
                <w:rFonts w:ascii="Arial Narrow" w:hAnsi="Arial Narrow" w:cs="Calibri"/>
                <w:sz w:val="20"/>
                <w:szCs w:val="20"/>
              </w:rPr>
              <w:t>Strategy sessions/negotiations about collective bargaining, or prospective litigation after formal written demand</w:t>
            </w:r>
          </w:p>
          <w:p w:rsidR="00D10AE9" w:rsidRPr="00D10AE9" w:rsidRDefault="00D10AE9" w:rsidP="00D10AE9">
            <w:pPr>
              <w:numPr>
                <w:ilvl w:val="1"/>
                <w:numId w:val="11"/>
              </w:numPr>
              <w:spacing w:before="60" w:after="60"/>
              <w:textAlignment w:val="baseline"/>
              <w:rPr>
                <w:rFonts w:ascii="Arial Narrow" w:hAnsi="Arial Narrow" w:cs="Calibri"/>
                <w:sz w:val="20"/>
                <w:szCs w:val="20"/>
              </w:rPr>
            </w:pPr>
            <w:r w:rsidRPr="00D10AE9">
              <w:rPr>
                <w:rFonts w:ascii="Arial Narrow" w:hAnsi="Arial Narrow" w:cs="Calibri"/>
                <w:sz w:val="20"/>
                <w:szCs w:val="20"/>
              </w:rPr>
              <w:t>Discussion related to security personnel, plans, or devices</w:t>
            </w:r>
          </w:p>
          <w:p w:rsidR="00D10AE9" w:rsidRPr="00D10AE9" w:rsidRDefault="00D10AE9" w:rsidP="00D10AE9">
            <w:pPr>
              <w:numPr>
                <w:ilvl w:val="1"/>
                <w:numId w:val="11"/>
              </w:numPr>
              <w:spacing w:before="60" w:after="60"/>
              <w:textAlignment w:val="baseline"/>
              <w:rPr>
                <w:rFonts w:ascii="Arial Narrow" w:hAnsi="Arial Narrow" w:cs="Calibri"/>
                <w:sz w:val="20"/>
                <w:szCs w:val="20"/>
              </w:rPr>
            </w:pPr>
            <w:r w:rsidRPr="00D10AE9">
              <w:rPr>
                <w:rFonts w:ascii="Arial Narrow" w:hAnsi="Arial Narrow" w:cs="Calibri"/>
                <w:sz w:val="20"/>
                <w:szCs w:val="20"/>
              </w:rPr>
              <w:t>Investigative proceedings regarding allegations of misconduct</w:t>
            </w:r>
          </w:p>
          <w:p w:rsidR="00D10AE9" w:rsidRPr="00D10AE9" w:rsidRDefault="00D10AE9" w:rsidP="00D10AE9">
            <w:pPr>
              <w:numPr>
                <w:ilvl w:val="1"/>
                <w:numId w:val="11"/>
              </w:numPr>
              <w:spacing w:before="60" w:after="60"/>
              <w:textAlignment w:val="baseline"/>
              <w:rPr>
                <w:rFonts w:ascii="Arial Narrow" w:hAnsi="Arial Narrow" w:cs="Calibri"/>
                <w:sz w:val="20"/>
                <w:szCs w:val="20"/>
              </w:rPr>
            </w:pPr>
            <w:r w:rsidRPr="00D10AE9">
              <w:rPr>
                <w:rFonts w:ascii="Arial Narrow" w:hAnsi="Arial Narrow" w:cs="Calibri"/>
                <w:sz w:val="20"/>
                <w:szCs w:val="20"/>
              </w:rPr>
              <w:t>Discussions with individual students or their parents regarding problems of that student or their parents; provided that the student or parent may request that such discussions be held in an open meeting</w:t>
            </w:r>
          </w:p>
          <w:p w:rsidR="00D10AE9" w:rsidRPr="00D10AE9" w:rsidRDefault="00D10AE9" w:rsidP="00D10AE9">
            <w:pPr>
              <w:numPr>
                <w:ilvl w:val="0"/>
                <w:numId w:val="11"/>
              </w:numPr>
              <w:spacing w:before="60" w:after="60"/>
              <w:textAlignment w:val="baseline"/>
              <w:rPr>
                <w:rFonts w:ascii="Arial Narrow" w:hAnsi="Arial Narrow" w:cs="Calibri"/>
                <w:sz w:val="20"/>
                <w:szCs w:val="20"/>
              </w:rPr>
            </w:pPr>
            <w:r w:rsidRPr="00D10AE9">
              <w:rPr>
                <w:rFonts w:ascii="Arial Narrow" w:hAnsi="Arial Narrow" w:cs="Calibri"/>
                <w:sz w:val="20"/>
                <w:szCs w:val="20"/>
              </w:rPr>
              <w:t>The vote of each board member requesting an executive session and reasons for requesting must be recorded</w:t>
            </w:r>
          </w:p>
          <w:p w:rsidR="00D10AE9" w:rsidRPr="00D10AE9" w:rsidRDefault="00D10AE9" w:rsidP="00D10AE9">
            <w:pPr>
              <w:numPr>
                <w:ilvl w:val="0"/>
                <w:numId w:val="11"/>
              </w:numPr>
              <w:spacing w:before="60" w:after="60"/>
              <w:textAlignment w:val="baseline"/>
              <w:rPr>
                <w:rFonts w:ascii="Arial Narrow" w:hAnsi="Arial Narrow" w:cs="Calibri"/>
                <w:sz w:val="20"/>
                <w:szCs w:val="20"/>
              </w:rPr>
            </w:pPr>
            <w:r w:rsidRPr="00D10AE9">
              <w:rPr>
                <w:rFonts w:ascii="Arial Narrow" w:hAnsi="Arial Narrow" w:cs="Calibri"/>
                <w:sz w:val="20"/>
                <w:szCs w:val="20"/>
              </w:rPr>
              <w:t>Two-thirds of the board must vote to hold an executive session at an open meeting</w:t>
            </w:r>
          </w:p>
          <w:p w:rsidR="00D10AE9" w:rsidRPr="00D10AE9" w:rsidRDefault="00D10AE9" w:rsidP="00D10AE9">
            <w:pPr>
              <w:numPr>
                <w:ilvl w:val="0"/>
                <w:numId w:val="11"/>
              </w:numPr>
              <w:spacing w:before="60" w:after="60"/>
              <w:textAlignment w:val="baseline"/>
              <w:rPr>
                <w:rFonts w:ascii="Arial Narrow" w:hAnsi="Arial Narrow" w:cs="Calibri"/>
                <w:sz w:val="20"/>
                <w:szCs w:val="20"/>
              </w:rPr>
            </w:pPr>
            <w:r w:rsidRPr="00D10AE9">
              <w:rPr>
                <w:rFonts w:ascii="Arial Narrow" w:hAnsi="Arial Narrow" w:cs="Calibri"/>
                <w:sz w:val="20"/>
                <w:szCs w:val="20"/>
              </w:rPr>
              <w:t>There can be no final or binding action taken during executive sessions.</w:t>
            </w:r>
          </w:p>
          <w:p w:rsidR="00D10AE9" w:rsidRDefault="00D10AE9" w:rsidP="00D10AE9">
            <w:pPr>
              <w:pStyle w:val="ListParagraph"/>
              <w:numPr>
                <w:ilvl w:val="0"/>
                <w:numId w:val="12"/>
              </w:numPr>
              <w:spacing w:before="60" w:after="60"/>
              <w:ind w:left="360"/>
              <w:contextualSpacing w:val="0"/>
              <w:jc w:val="both"/>
              <w:rPr>
                <w:rFonts w:ascii="Arial Narrow" w:eastAsia="Times New Roman" w:hAnsi="Arial Narrow"/>
              </w:rPr>
            </w:pPr>
            <w:r w:rsidRPr="00D10AE9">
              <w:rPr>
                <w:rFonts w:ascii="Arial Narrow" w:hAnsi="Arial Narrow" w:cs="Calibri"/>
                <w:sz w:val="20"/>
                <w:szCs w:val="20"/>
              </w:rPr>
              <w:t>Executive sessions cannot be used as a “stall tactic” to prevent the public from gaining access to meetings.</w:t>
            </w:r>
          </w:p>
        </w:tc>
      </w:tr>
    </w:tbl>
    <w:p w:rsidR="00D10AE9" w:rsidRDefault="00D10AE9" w:rsidP="00D10AE9">
      <w:pPr>
        <w:jc w:val="both"/>
        <w:rPr>
          <w:rFonts w:ascii="Arial Narrow" w:eastAsia="Times New Roman" w:hAnsi="Arial Narrow"/>
        </w:rPr>
      </w:pPr>
    </w:p>
    <w:p w:rsidR="00D10AE9" w:rsidRDefault="00D10AE9" w:rsidP="00D10AE9">
      <w:pPr>
        <w:spacing w:after="60"/>
        <w:rPr>
          <w:rFonts w:ascii="Arial Narrow" w:hAnsi="Arial Narrow"/>
          <w:b/>
        </w:rPr>
      </w:pPr>
      <w:r>
        <w:rPr>
          <w:rFonts w:ascii="Arial Narrow" w:hAnsi="Arial Narrow"/>
          <w:b/>
        </w:rPr>
        <w:t>Consequence of Non-Compliance</w:t>
      </w:r>
    </w:p>
    <w:p w:rsidR="00D10AE9" w:rsidRDefault="00D10AE9" w:rsidP="00D10AE9">
      <w:pPr>
        <w:jc w:val="both"/>
        <w:rPr>
          <w:rFonts w:ascii="Arial Narrow" w:hAnsi="Arial Narrow" w:cs="Calibri"/>
        </w:rPr>
      </w:pPr>
      <w:r>
        <w:rPr>
          <w:rFonts w:ascii="Arial Narrow" w:hAnsi="Arial Narrow" w:cs="Calibri"/>
        </w:rPr>
        <w:t>Charter school board members can individually be subject to fines for violating open meeting and public records laws.  Additionally, violation of these laws may impact extension or renewal of the charter contract.</w:t>
      </w:r>
    </w:p>
    <w:p w:rsidR="00D10AE9" w:rsidRPr="00D10AE9" w:rsidRDefault="00D10AE9" w:rsidP="00D10AE9">
      <w:pPr>
        <w:pStyle w:val="Footer"/>
        <w:jc w:val="both"/>
        <w:rPr>
          <w:rFonts w:ascii="Arial Narrow" w:hAnsi="Arial Narrow"/>
          <w:i/>
          <w:sz w:val="20"/>
          <w:szCs w:val="20"/>
        </w:rPr>
      </w:pPr>
      <w:r w:rsidRPr="00D10AE9">
        <w:rPr>
          <w:rFonts w:ascii="Arial Narrow" w:hAnsi="Arial Narrow"/>
          <w:i/>
          <w:sz w:val="20"/>
          <w:szCs w:val="20"/>
        </w:rPr>
        <w:t>This informational document is a general guide to inform schools of basic requirements.  It is NOT a substitute for federal, state guidelines and / or the appropriate state and local policies.  Please visit the websites above for more information or contact the Department of Education Office of School Choice (Type 2 and 4 Louisiana charter schools) or the Recovery School District Office of School Performance (Type 5 charter schools) with questions.</w:t>
      </w:r>
    </w:p>
    <w:p w:rsidR="00EE5791" w:rsidRPr="00EE5791" w:rsidRDefault="00EE5791" w:rsidP="005F7307">
      <w:pPr>
        <w:spacing w:after="80" w:line="240" w:lineRule="auto"/>
        <w:ind w:right="720"/>
        <w:rPr>
          <w:i/>
          <w:sz w:val="24"/>
          <w:szCs w:val="24"/>
        </w:rPr>
      </w:pPr>
    </w:p>
    <w:sectPr w:rsidR="00EE5791" w:rsidRPr="00EE5791" w:rsidSect="00EE5791">
      <w:headerReference w:type="default" r:id="rId8"/>
      <w:pgSz w:w="12240" w:h="15840" w:code="1"/>
      <w:pgMar w:top="216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D09" w:rsidRDefault="00107D09" w:rsidP="00DB0209">
      <w:pPr>
        <w:spacing w:after="0" w:line="240" w:lineRule="auto"/>
      </w:pPr>
      <w:r>
        <w:separator/>
      </w:r>
    </w:p>
  </w:endnote>
  <w:endnote w:type="continuationSeparator" w:id="0">
    <w:p w:rsidR="00107D09" w:rsidRDefault="00107D09" w:rsidP="00DB0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D09" w:rsidRDefault="00107D09" w:rsidP="00DB0209">
      <w:pPr>
        <w:spacing w:after="0" w:line="240" w:lineRule="auto"/>
      </w:pPr>
      <w:r>
        <w:separator/>
      </w:r>
    </w:p>
  </w:footnote>
  <w:footnote w:type="continuationSeparator" w:id="0">
    <w:p w:rsidR="00107D09" w:rsidRDefault="00107D09" w:rsidP="00DB0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209" w:rsidRDefault="00DB0209">
    <w:pPr>
      <w:pStyle w:val="Header"/>
    </w:pPr>
    <w:r>
      <w:rPr>
        <w:noProof/>
      </w:rPr>
      <w:drawing>
        <wp:inline distT="0" distB="0" distL="0" distR="0" wp14:anchorId="6AFFD624" wp14:editId="73C715A4">
          <wp:extent cx="6858000" cy="701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7010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AE4"/>
    <w:multiLevelType w:val="hybridMultilevel"/>
    <w:tmpl w:val="C890F5C8"/>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1440"/>
        </w:tabs>
        <w:ind w:left="1440" w:hanging="360"/>
      </w:pPr>
      <w:rPr>
        <w:rFonts w:hint="default"/>
      </w:rPr>
    </w:lvl>
    <w:lvl w:ilvl="3" w:tplc="0409000F">
      <w:start w:val="1"/>
      <w:numFmt w:val="decimal"/>
      <w:lvlText w:val="%4."/>
      <w:lvlJc w:val="left"/>
      <w:pPr>
        <w:tabs>
          <w:tab w:val="num" w:pos="2250"/>
        </w:tabs>
        <w:ind w:left="225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423D0"/>
    <w:multiLevelType w:val="multilevel"/>
    <w:tmpl w:val="2F7404B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nsid w:val="140526A8"/>
    <w:multiLevelType w:val="hybridMultilevel"/>
    <w:tmpl w:val="6902D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EF56BC0"/>
    <w:multiLevelType w:val="multilevel"/>
    <w:tmpl w:val="FE7CA41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nsid w:val="406A708C"/>
    <w:multiLevelType w:val="multilevel"/>
    <w:tmpl w:val="142EA2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b/>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41B171C6"/>
    <w:multiLevelType w:val="hybridMultilevel"/>
    <w:tmpl w:val="677C61C8"/>
    <w:lvl w:ilvl="0" w:tplc="247036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AF6E89"/>
    <w:multiLevelType w:val="multilevel"/>
    <w:tmpl w:val="AFC6E7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nsid w:val="54910ABB"/>
    <w:multiLevelType w:val="hybridMultilevel"/>
    <w:tmpl w:val="ABE611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6121A8"/>
    <w:multiLevelType w:val="multilevel"/>
    <w:tmpl w:val="B19098C2"/>
    <w:lvl w:ilvl="0">
      <w:start w:val="1"/>
      <w:numFmt w:val="upperRoman"/>
      <w:lvlText w:val="%1."/>
      <w:lvlJc w:val="left"/>
      <w:pPr>
        <w:tabs>
          <w:tab w:val="num" w:pos="720"/>
        </w:tabs>
        <w:ind w:left="360" w:hanging="360"/>
      </w:pPr>
      <w:rPr>
        <w:rFonts w:hint="default"/>
        <w:b/>
        <w:i w:val="0"/>
      </w:rPr>
    </w:lvl>
    <w:lvl w:ilvl="1">
      <w:start w:val="1"/>
      <w:numFmt w:val="upperLetter"/>
      <w:lvlText w:val="%2."/>
      <w:lvlJc w:val="left"/>
      <w:pPr>
        <w:tabs>
          <w:tab w:val="num" w:pos="1080"/>
        </w:tabs>
        <w:ind w:left="1080" w:hanging="720"/>
      </w:pPr>
      <w:rPr>
        <w:rFonts w:hint="default"/>
        <w:b/>
        <w:i w:val="0"/>
      </w:rPr>
    </w:lvl>
    <w:lvl w:ilvl="2">
      <w:start w:val="4"/>
      <w:numFmt w:val="decimal"/>
      <w:lvlText w:val="%3."/>
      <w:lvlJc w:val="left"/>
      <w:pPr>
        <w:tabs>
          <w:tab w:val="num" w:pos="720"/>
        </w:tabs>
        <w:ind w:left="720" w:hanging="360"/>
      </w:pPr>
      <w:rPr>
        <w:rFonts w:hint="default"/>
        <w:b/>
        <w:i w:val="0"/>
      </w:rPr>
    </w:lvl>
    <w:lvl w:ilvl="3">
      <w:start w:val="1"/>
      <w:numFmt w:val="bullet"/>
      <w:lvlText w:val=""/>
      <w:lvlJc w:val="left"/>
      <w:pPr>
        <w:tabs>
          <w:tab w:val="num" w:pos="1800"/>
        </w:tabs>
        <w:ind w:left="1800" w:hanging="360"/>
      </w:pPr>
      <w:rPr>
        <w:rFonts w:ascii="Symbol" w:hAnsi="Symbol" w:hint="default"/>
        <w:b/>
        <w:i w:val="0"/>
      </w:rPr>
    </w:lvl>
    <w:lvl w:ilvl="4">
      <w:start w:val="1"/>
      <w:numFmt w:val="lowerRoman"/>
      <w:lvlText w:val="(%5)"/>
      <w:lvlJc w:val="left"/>
      <w:pPr>
        <w:tabs>
          <w:tab w:val="num" w:pos="2160"/>
        </w:tabs>
        <w:ind w:left="1800" w:hanging="360"/>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6BFE30F7"/>
    <w:multiLevelType w:val="hybridMultilevel"/>
    <w:tmpl w:val="4B42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B305E4"/>
    <w:multiLevelType w:val="hybridMultilevel"/>
    <w:tmpl w:val="5ED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36225D"/>
    <w:multiLevelType w:val="hybridMultilevel"/>
    <w:tmpl w:val="B3D20C28"/>
    <w:lvl w:ilvl="0" w:tplc="B3CC1F36">
      <w:start w:val="1"/>
      <w:numFmt w:val="lowerLetter"/>
      <w:lvlText w:val="%1."/>
      <w:lvlJc w:val="left"/>
      <w:pPr>
        <w:tabs>
          <w:tab w:val="num" w:pos="1800"/>
        </w:tabs>
        <w:ind w:left="1800" w:hanging="360"/>
      </w:pPr>
      <w:rPr>
        <w:rFonts w:hint="default"/>
        <w:b w:val="0"/>
        <w:i w:val="0"/>
        <w:sz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10"/>
  </w:num>
  <w:num w:numId="3">
    <w:abstractNumId w:val="7"/>
  </w:num>
  <w:num w:numId="4">
    <w:abstractNumId w:val="5"/>
  </w:num>
  <w:num w:numId="5">
    <w:abstractNumId w:val="11"/>
  </w:num>
  <w:num w:numId="6">
    <w:abstractNumId w:val="0"/>
  </w:num>
  <w:num w:numId="7">
    <w:abstractNumId w:val="8"/>
  </w:num>
  <w:num w:numId="8">
    <w:abstractNumId w:val="4"/>
  </w:num>
  <w:num w:numId="9">
    <w:abstractNumId w:val="6"/>
  </w:num>
  <w:num w:numId="10">
    <w:abstractNumId w:val="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10529F"/>
    <w:rsid w:val="00107D09"/>
    <w:rsid w:val="00181630"/>
    <w:rsid w:val="002650B2"/>
    <w:rsid w:val="0049550E"/>
    <w:rsid w:val="005671CD"/>
    <w:rsid w:val="005F7307"/>
    <w:rsid w:val="0061348F"/>
    <w:rsid w:val="007D39A9"/>
    <w:rsid w:val="009A3923"/>
    <w:rsid w:val="00B66A62"/>
    <w:rsid w:val="00CA5E6A"/>
    <w:rsid w:val="00CB6253"/>
    <w:rsid w:val="00D10AE9"/>
    <w:rsid w:val="00DB0209"/>
    <w:rsid w:val="00E52BC4"/>
    <w:rsid w:val="00E57952"/>
    <w:rsid w:val="00EE5791"/>
    <w:rsid w:val="00F6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styleId="ListParagraph">
    <w:name w:val="List Paragraph"/>
    <w:basedOn w:val="Normal"/>
    <w:uiPriority w:val="34"/>
    <w:qFormat/>
    <w:rsid w:val="005671CD"/>
    <w:pPr>
      <w:ind w:left="720"/>
      <w:contextualSpacing/>
    </w:pPr>
    <w:rPr>
      <w:rFonts w:eastAsiaTheme="minorEastAsia"/>
    </w:rPr>
  </w:style>
  <w:style w:type="table" w:styleId="TableGrid">
    <w:name w:val="Table Grid"/>
    <w:basedOn w:val="TableNormal"/>
    <w:uiPriority w:val="59"/>
    <w:rsid w:val="00567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A39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styleId="ListParagraph">
    <w:name w:val="List Paragraph"/>
    <w:basedOn w:val="Normal"/>
    <w:uiPriority w:val="34"/>
    <w:qFormat/>
    <w:rsid w:val="005671CD"/>
    <w:pPr>
      <w:ind w:left="720"/>
      <w:contextualSpacing/>
    </w:pPr>
    <w:rPr>
      <w:rFonts w:eastAsiaTheme="minorEastAsia"/>
    </w:rPr>
  </w:style>
  <w:style w:type="table" w:styleId="TableGrid">
    <w:name w:val="Table Grid"/>
    <w:basedOn w:val="TableNormal"/>
    <w:uiPriority w:val="59"/>
    <w:rsid w:val="005671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A39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66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Leslie Hill</cp:lastModifiedBy>
  <cp:revision>2</cp:revision>
  <cp:lastPrinted>2012-11-27T21:10:00Z</cp:lastPrinted>
  <dcterms:created xsi:type="dcterms:W3CDTF">2013-01-02T19:45:00Z</dcterms:created>
  <dcterms:modified xsi:type="dcterms:W3CDTF">2013-01-02T19:45:00Z</dcterms:modified>
</cp:coreProperties>
</file>